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rFonts w:ascii="Arial" w:hAnsi="Arial"/>
          <w:b/>
          <w:b/>
          <w:bCs/>
          <w:sz w:val="42"/>
          <w:szCs w:val="42"/>
        </w:rPr>
      </w:pPr>
      <w:r>
        <w:rPr>
          <w:rFonts w:ascii="Arial" w:hAnsi="Arial"/>
          <w:b/>
          <w:bCs/>
          <w:sz w:val="42"/>
          <w:szCs w:val="42"/>
        </w:rPr>
        <w:t>Sodium capacity vs Lead Acid vs LFP vs LTO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Usable capacity during an alternator-out emergency:</w:t>
      </w:r>
    </w:p>
    <w:p>
      <w:pPr>
        <w:pStyle w:val="Normal"/>
        <w:bidi w:val="0"/>
        <w:jc w:val="left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i/>
          <w:i/>
          <w:iCs/>
          <w:sz w:val="24"/>
          <w:szCs w:val="24"/>
        </w:rPr>
      </w:pPr>
      <w:r>
        <w:rPr>
          <w:b w:val="false"/>
          <w:bCs w:val="false"/>
          <w:i/>
          <w:iCs/>
          <w:sz w:val="24"/>
          <w:szCs w:val="24"/>
        </w:rPr>
        <w:t xml:space="preserve">Note: A starter battery is a poor vessel for maximum energy density as power density takes priority to start the engine.  </w:t>
      </w:r>
      <w:r>
        <w:rPr>
          <w:b w:val="false"/>
          <w:bCs w:val="false"/>
          <w:i/>
          <w:iCs/>
          <w:sz w:val="24"/>
          <w:szCs w:val="24"/>
        </w:rPr>
        <w:t>A 2</w:t>
      </w:r>
      <w:r>
        <w:rPr>
          <w:b w:val="false"/>
          <w:bCs w:val="false"/>
          <w:i/>
          <w:iCs/>
          <w:sz w:val="24"/>
          <w:szCs w:val="24"/>
          <w:vertAlign w:val="superscript"/>
        </w:rPr>
        <w:t>nd</w:t>
      </w:r>
      <w:r>
        <w:rPr>
          <w:b w:val="false"/>
          <w:bCs w:val="false"/>
          <w:i/>
          <w:iCs/>
          <w:sz w:val="24"/>
          <w:szCs w:val="24"/>
        </w:rPr>
        <w:t xml:space="preserve"> non-starting more energy dense battery can be installed on the bus as backup.</w:t>
      </w:r>
    </w:p>
    <w:p>
      <w:pPr>
        <w:pStyle w:val="Normal"/>
        <w:bidi w:val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/>
      </w:pPr>
      <w:r>
        <w:rPr/>
        <w:t xml:space="preserve">Sodium-ion cells do have a different voltage profile from LFP, but published  testing shows that approximately </w:t>
      </w:r>
      <w:r>
        <w:rPr>
          <w:rStyle w:val="StrongEmphasis"/>
        </w:rPr>
        <w:t>80% of usable capacity is between 3.1 and 2.6 V per cell</w:t>
      </w:r>
      <w:r>
        <w:rPr/>
        <w:t xml:space="preserve">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TextBody"/>
        <w:bidi w:val="0"/>
        <w:jc w:val="left"/>
        <w:rPr/>
      </w:pPr>
      <w:r>
        <w:rPr>
          <w:rStyle w:val="StrongEmphasis"/>
        </w:rPr>
        <w:t>Q: At the aircraft's actual continuous electrical load, how many amp-hours can the battery deliver before the aircraft's minimum acceptable bus voltage – 11 volts - is reached?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Lead-acid has a significant voltage decline under load, and it also suffers from the </w:t>
      </w:r>
      <w:r>
        <w:rPr>
          <w:rStyle w:val="StrongEmphasis"/>
        </w:rPr>
        <w:t>Peukert effect</w:t>
      </w:r>
      <w:r>
        <w:rPr/>
        <w:t xml:space="preserve">, meaning its available capacity decreases as discharge current increases. Lead-acid batteries are commonly rated at the relatively gentle </w:t>
      </w:r>
      <w:r>
        <w:rPr>
          <w:rStyle w:val="StrongEmphasis"/>
        </w:rPr>
        <w:t>20-hour rate (0.05C)</w:t>
      </w:r>
      <w:r>
        <w:rPr/>
        <w:t xml:space="preserve"> precisely because their usable capacity falls at higher discharge rates.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The relevant comparison isn't sodium versus LFP. It is sodium versus the AGM battery being replaced, at the actual aircraft emergency load and minimum acceptable bus voltage. </w:t>
      </w:r>
    </w:p>
    <w:p>
      <w:pPr>
        <w:pStyle w:val="Normal"/>
        <w:bidi w:val="0"/>
        <w:jc w:val="left"/>
        <w:rPr/>
      </w:pPr>
      <w:r>
        <w:rPr/>
        <w:t xml:space="preserve">At 15 A, a 16-Ah PC680 does not deliver its full 16 Ah; Odyssey's own discharge data shows approximately 11.7 Ah at 15.6 A.  A 17-Ah sodium battery's discharge curve indicates approximately 12 Ah is available above an 11V  bus threshold at approximately a 0.9C discharge rate. Therefore, any assertion that sodium requires twice the capacity is not supported by the actual discharge data.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tbl>
      <w:tblPr>
        <w:tblW w:w="8947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73"/>
        <w:gridCol w:w="1347"/>
        <w:gridCol w:w="3195"/>
        <w:gridCol w:w="2932"/>
      </w:tblGrid>
      <w:tr>
        <w:trPr>
          <w:tblHeader w:val="true"/>
        </w:trPr>
        <w:tc>
          <w:tcPr>
            <w:tcW w:w="1473" w:type="dxa"/>
            <w:tcBorders/>
            <w:vAlign w:val="center"/>
          </w:tcPr>
          <w:p>
            <w:pPr>
              <w:pStyle w:val="TableHeading"/>
              <w:widowControl w:val="false"/>
              <w:suppressLineNumbers/>
              <w:bidi w:val="0"/>
              <w:jc w:val="center"/>
              <w:rPr/>
            </w:pPr>
            <w:r>
              <w:rPr/>
              <w:t>Battery</w:t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TableHeading"/>
              <w:widowControl w:val="false"/>
              <w:bidi w:val="0"/>
              <w:jc w:val="right"/>
              <w:rPr/>
            </w:pPr>
            <w:r>
              <w:rPr/>
              <w:t>Nominal Ah</w:t>
            </w:r>
          </w:p>
        </w:tc>
        <w:tc>
          <w:tcPr>
            <w:tcW w:w="3195" w:type="dxa"/>
            <w:tcBorders/>
            <w:vAlign w:val="center"/>
          </w:tcPr>
          <w:p>
            <w:pPr>
              <w:pStyle w:val="TableHeading"/>
              <w:widowControl w:val="false"/>
              <w:bidi w:val="0"/>
              <w:jc w:val="right"/>
              <w:rPr/>
            </w:pPr>
            <w:r>
              <w:rPr/>
              <w:t>Approx. usable Ah above 11 V</w:t>
            </w:r>
          </w:p>
        </w:tc>
        <w:tc>
          <w:tcPr>
            <w:tcW w:w="2932" w:type="dxa"/>
            <w:tcBorders/>
            <w:vAlign w:val="center"/>
          </w:tcPr>
          <w:p>
            <w:pPr>
              <w:pStyle w:val="TableHeading"/>
              <w:widowControl w:val="false"/>
              <w:bidi w:val="0"/>
              <w:jc w:val="right"/>
              <w:rPr/>
            </w:pPr>
            <w:r>
              <w:rPr/>
              <w:t>Approx. endurance @ 15 A</w:t>
            </w:r>
          </w:p>
        </w:tc>
      </w:tr>
      <w:tr>
        <w:trPr/>
        <w:tc>
          <w:tcPr>
            <w:tcW w:w="147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PC680 AGM</w:t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TableContents"/>
              <w:widowControl w:val="false"/>
              <w:bidi w:val="0"/>
              <w:jc w:val="right"/>
              <w:rPr/>
            </w:pPr>
            <w:r>
              <w:rPr/>
              <w:t>16 Ah</w:t>
            </w:r>
          </w:p>
        </w:tc>
        <w:tc>
          <w:tcPr>
            <w:tcW w:w="3195" w:type="dxa"/>
            <w:tcBorders/>
            <w:vAlign w:val="center"/>
          </w:tcPr>
          <w:p>
            <w:pPr>
              <w:pStyle w:val="TableContents"/>
              <w:widowControl w:val="false"/>
              <w:bidi w:val="0"/>
              <w:jc w:val="right"/>
              <w:rPr/>
            </w:pPr>
            <w:r>
              <w:rPr/>
              <w:t>~11–12 Ah</w:t>
            </w:r>
          </w:p>
        </w:tc>
        <w:tc>
          <w:tcPr>
            <w:tcW w:w="2932" w:type="dxa"/>
            <w:tcBorders/>
            <w:vAlign w:val="center"/>
          </w:tcPr>
          <w:p>
            <w:pPr>
              <w:pStyle w:val="TableContents"/>
              <w:widowControl w:val="false"/>
              <w:bidi w:val="0"/>
              <w:jc w:val="right"/>
              <w:rPr/>
            </w:pPr>
            <w:r>
              <w:rPr/>
              <w:t>~45–48 min</w:t>
            </w:r>
          </w:p>
        </w:tc>
      </w:tr>
      <w:tr>
        <w:trPr/>
        <w:tc>
          <w:tcPr>
            <w:tcW w:w="147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ETX900 LFP</w:t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TableContents"/>
              <w:widowControl w:val="false"/>
              <w:bidi w:val="0"/>
              <w:jc w:val="right"/>
              <w:rPr/>
            </w:pPr>
            <w:r>
              <w:rPr/>
              <w:t>15.4 Ah</w:t>
            </w:r>
          </w:p>
        </w:tc>
        <w:tc>
          <w:tcPr>
            <w:tcW w:w="3195" w:type="dxa"/>
            <w:tcBorders/>
            <w:vAlign w:val="center"/>
          </w:tcPr>
          <w:p>
            <w:pPr>
              <w:pStyle w:val="TableContents"/>
              <w:widowControl w:val="false"/>
              <w:bidi w:val="0"/>
              <w:jc w:val="right"/>
              <w:rPr/>
            </w:pPr>
            <w:r>
              <w:rPr/>
              <w:t>~15 Ah</w:t>
            </w:r>
          </w:p>
        </w:tc>
        <w:tc>
          <w:tcPr>
            <w:tcW w:w="2932" w:type="dxa"/>
            <w:tcBorders/>
            <w:vAlign w:val="center"/>
          </w:tcPr>
          <w:p>
            <w:pPr>
              <w:pStyle w:val="TableContents"/>
              <w:widowControl w:val="false"/>
              <w:bidi w:val="0"/>
              <w:jc w:val="right"/>
              <w:rPr/>
            </w:pPr>
            <w:r>
              <w:rPr/>
              <w:t>~60 min</w:t>
            </w:r>
          </w:p>
        </w:tc>
      </w:tr>
      <w:tr>
        <w:trPr/>
        <w:tc>
          <w:tcPr>
            <w:tcW w:w="147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Sodium</w:t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TableContents"/>
              <w:widowControl w:val="false"/>
              <w:bidi w:val="0"/>
              <w:jc w:val="right"/>
              <w:rPr/>
            </w:pPr>
            <w:r>
              <w:rPr/>
              <w:t>17 Ah</w:t>
            </w:r>
          </w:p>
        </w:tc>
        <w:tc>
          <w:tcPr>
            <w:tcW w:w="3195" w:type="dxa"/>
            <w:tcBorders/>
            <w:vAlign w:val="center"/>
          </w:tcPr>
          <w:p>
            <w:pPr>
              <w:pStyle w:val="TableContents"/>
              <w:widowControl w:val="false"/>
              <w:bidi w:val="0"/>
              <w:jc w:val="right"/>
              <w:rPr/>
            </w:pPr>
            <w:r>
              <w:rPr/>
              <w:t>~12 Ah</w:t>
            </w:r>
          </w:p>
        </w:tc>
        <w:tc>
          <w:tcPr>
            <w:tcW w:w="2932" w:type="dxa"/>
            <w:tcBorders/>
            <w:vAlign w:val="center"/>
          </w:tcPr>
          <w:p>
            <w:pPr>
              <w:pStyle w:val="TableContents"/>
              <w:widowControl w:val="false"/>
              <w:bidi w:val="0"/>
              <w:jc w:val="right"/>
              <w:rPr/>
            </w:pPr>
            <w:r>
              <w:rPr/>
              <w:t>~48–50 min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TextBody"/>
        <w:bidi w:val="0"/>
        <w:jc w:val="left"/>
        <w:rPr/>
      </w:pPr>
      <w:r>
        <w:rPr/>
        <w:t xml:space="preserve">A sodium battery at 17 Ah could actually provide </w:t>
      </w:r>
      <w:r>
        <w:rPr>
          <w:rStyle w:val="StrongEmphasis"/>
        </w:rPr>
        <w:t>roughly the same or somewhat greater 11V emergency endurance as the 16-Ah PC680</w:t>
      </w:r>
      <w:r>
        <w:rPr/>
        <w:t>, despite the sodium voltage curve being considerably less flat than LFP.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And that's because the </w:t>
      </w:r>
      <w:r>
        <w:rPr>
          <w:rStyle w:val="StrongEmphasis"/>
        </w:rPr>
        <w:t>PC680 itself loses a substantial portion of its nameplate capacity at a ~1C discharge rate</w:t>
      </w:r>
      <w:r>
        <w:rPr/>
        <w:t>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Odyssey's own published data makes that very clear: the PC680 delivers 16 Ah at 8–10 hour/20-hour rates, but only 11.7 Ah at its 45-minute/15.6-A point. </w:t>
      </w:r>
    </w:p>
    <w:p>
      <w:pPr>
        <w:pStyle w:val="TextBody"/>
        <w:bidi w:val="0"/>
        <w:jc w:val="left"/>
        <w:rPr/>
      </w:pPr>
      <w:r>
        <w:rPr>
          <w:rStyle w:val="StrongEmphasis"/>
        </w:rPr>
        <w:t>A 17-Ah sodium battery is in the same general endurance territory as the 16-Ah PC680—not remotely 2× larger.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And the ETX900 advantage is only about </w:t>
      </w:r>
      <w:r>
        <w:rPr>
          <w:rStyle w:val="StrongEmphasis"/>
        </w:rPr>
        <w:t>25% more endurance</w:t>
      </w:r>
      <w:r>
        <w:rPr/>
        <w:t>, not 100% more</w:t>
      </w:r>
    </w:p>
    <w:p>
      <w:pPr>
        <w:pStyle w:val="Normal"/>
        <w:bidi w:val="0"/>
        <w:jc w:val="left"/>
        <w:rPr/>
      </w:pPr>
      <w:r>
        <w:rPr/>
        <w:t xml:space="preserve">At the actual 15-A emergency load, the relevant comparison is usable endurance above the aircraft's minimum bus voltage—not nameplate Ah and not sodium-versus-LFP voltage flatness. The 17-Ah sodium battery provides approximately the same 11-V emergency endurance as the 16-Ah PC680 AGM, while the 15.4-Ah ETX900 LFP provides roughly 25% more. The data do not indicate a requirement for twice the sodium capacity.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Heading3"/>
        <w:bidi w:val="0"/>
        <w:jc w:val="left"/>
        <w:rPr/>
      </w:pPr>
      <w:r>
        <w:rPr/>
        <w:t>Compare the four batteries</w:t>
      </w:r>
    </w:p>
    <w:tbl>
      <w:tblPr>
        <w:tblW w:w="9972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32"/>
        <w:gridCol w:w="1741"/>
        <w:gridCol w:w="4481"/>
        <w:gridCol w:w="2118"/>
      </w:tblGrid>
      <w:tr>
        <w:trPr>
          <w:tblHeader w:val="true"/>
        </w:trPr>
        <w:tc>
          <w:tcPr>
            <w:tcW w:w="1632" w:type="dxa"/>
            <w:tcBorders/>
            <w:vAlign w:val="center"/>
          </w:tcPr>
          <w:p>
            <w:pPr>
              <w:pStyle w:val="TableHeading"/>
              <w:widowControl w:val="false"/>
              <w:suppressLineNumbers/>
              <w:bidi w:val="0"/>
              <w:jc w:val="center"/>
              <w:rPr/>
            </w:pPr>
            <w:r>
              <w:rPr/>
              <w:t>Battery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TableHeading"/>
              <w:widowControl w:val="false"/>
              <w:suppressLineNumbers/>
              <w:bidi w:val="0"/>
              <w:jc w:val="center"/>
              <w:rPr/>
            </w:pPr>
            <w:r>
              <w:rPr/>
              <w:t>Nominal capacity</w:t>
            </w:r>
          </w:p>
        </w:tc>
        <w:tc>
          <w:tcPr>
            <w:tcW w:w="4481" w:type="dxa"/>
            <w:tcBorders/>
            <w:vAlign w:val="center"/>
          </w:tcPr>
          <w:p>
            <w:pPr>
              <w:pStyle w:val="TableHeading"/>
              <w:widowControl w:val="false"/>
              <w:suppressLineNumbers/>
              <w:bidi w:val="0"/>
              <w:jc w:val="center"/>
              <w:rPr/>
            </w:pPr>
            <w:r>
              <w:rPr/>
              <w:t>Approx. capacity available after 14.4-V operation</w:t>
            </w:r>
          </w:p>
        </w:tc>
        <w:tc>
          <w:tcPr>
            <w:tcW w:w="2118" w:type="dxa"/>
            <w:tcBorders/>
            <w:vAlign w:val="center"/>
          </w:tcPr>
          <w:p>
            <w:pPr>
              <w:pStyle w:val="TableHeading"/>
              <w:widowControl w:val="false"/>
              <w:suppressLineNumbers/>
              <w:bidi w:val="0"/>
              <w:jc w:val="center"/>
              <w:rPr/>
            </w:pPr>
            <w:r>
              <w:rPr/>
              <w:t>15-A theoretical time</w:t>
            </w:r>
          </w:p>
        </w:tc>
      </w:tr>
      <w:tr>
        <w:trPr/>
        <w:tc>
          <w:tcPr>
            <w:tcW w:w="16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Odyssey PC680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16 Ah</w:t>
            </w:r>
          </w:p>
        </w:tc>
        <w:tc>
          <w:tcPr>
            <w:tcW w:w="4481" w:type="dxa"/>
            <w:tcBorders/>
            <w:vAlign w:val="center"/>
          </w:tcPr>
          <w:p>
            <w:pPr>
              <w:pStyle w:val="TableContents"/>
              <w:widowControl w:val="false"/>
              <w:bidi w:val="0"/>
              <w:jc w:val="left"/>
              <w:rPr/>
            </w:pPr>
            <w:r>
              <w:rPr/>
              <w:t>Near 100%</w:t>
            </w:r>
          </w:p>
        </w:tc>
        <w:tc>
          <w:tcPr>
            <w:tcW w:w="211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45-48 min nominal</w:t>
            </w:r>
          </w:p>
        </w:tc>
      </w:tr>
      <w:tr>
        <w:trPr/>
        <w:tc>
          <w:tcPr>
            <w:tcW w:w="16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EarthX ETX900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15.6 Ah</w:t>
            </w:r>
          </w:p>
        </w:tc>
        <w:tc>
          <w:tcPr>
            <w:tcW w:w="4481" w:type="dxa"/>
            <w:tcBorders/>
            <w:vAlign w:val="center"/>
          </w:tcPr>
          <w:p>
            <w:pPr>
              <w:pStyle w:val="TableContents"/>
              <w:widowControl w:val="false"/>
              <w:bidi w:val="0"/>
              <w:jc w:val="left"/>
              <w:rPr/>
            </w:pPr>
            <w:r>
              <w:rPr/>
              <w:t>Near 100%</w:t>
            </w:r>
          </w:p>
        </w:tc>
        <w:tc>
          <w:tcPr>
            <w:tcW w:w="211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~60 min nominal</w:t>
            </w:r>
          </w:p>
        </w:tc>
      </w:tr>
      <w:tr>
        <w:trPr/>
        <w:tc>
          <w:tcPr>
            <w:tcW w:w="16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4S Sodium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17 Ah</w:t>
            </w:r>
          </w:p>
        </w:tc>
        <w:tc>
          <w:tcPr>
            <w:tcW w:w="4481" w:type="dxa"/>
            <w:tcBorders/>
            <w:vAlign w:val="center"/>
          </w:tcPr>
          <w:p>
            <w:pPr>
              <w:pStyle w:val="TableContents"/>
              <w:widowControl w:val="false"/>
              <w:bidi w:val="0"/>
              <w:jc w:val="left"/>
              <w:rPr/>
            </w:pPr>
            <w:r>
              <w:rPr/>
              <w:t>Near 80%</w:t>
            </w:r>
          </w:p>
        </w:tc>
        <w:tc>
          <w:tcPr>
            <w:tcW w:w="211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48-50 min nominal</w:t>
            </w:r>
          </w:p>
        </w:tc>
      </w:tr>
      <w:tr>
        <w:trPr/>
        <w:tc>
          <w:tcPr>
            <w:tcW w:w="1632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6S Toshiba LTO</w:t>
            </w:r>
          </w:p>
        </w:tc>
        <w:tc>
          <w:tcPr>
            <w:tcW w:w="174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20 Ah</w:t>
            </w:r>
          </w:p>
        </w:tc>
        <w:tc>
          <w:tcPr>
            <w:tcW w:w="448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~15.4 Ah at 2.40 V/cell/80%</w:t>
            </w:r>
          </w:p>
        </w:tc>
        <w:tc>
          <w:tcPr>
            <w:tcW w:w="211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~62 min</w:t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p>
      <w:pPr>
        <w:pStyle w:val="Heading3"/>
        <w:bidi w:val="0"/>
        <w:jc w:val="left"/>
        <w:rPr/>
      </w:pPr>
      <w:r>
        <w:rPr/>
        <w:t>1. AGM — the conventional choice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Odyssey PC680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Advantages:</w:t>
      </w:r>
    </w:p>
    <w:p>
      <w:pPr>
        <w:pStyle w:val="TextBody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/>
        <w:t xml:space="preserve">Proven technology </w:t>
      </w:r>
    </w:p>
    <w:p>
      <w:pPr>
        <w:pStyle w:val="TextBody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/>
        <w:t xml:space="preserve">Simple </w:t>
      </w:r>
    </w:p>
    <w:p>
      <w:pPr>
        <w:pStyle w:val="TextBody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/>
        <w:t xml:space="preserve">Familiar to mechanics and aircraft owners </w:t>
      </w:r>
    </w:p>
    <w:p>
      <w:pPr>
        <w:pStyle w:val="TextBody"/>
        <w:numPr>
          <w:ilvl w:val="0"/>
          <w:numId w:val="2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/>
        <w:t xml:space="preserve">No sophisticated battery electronics required </w:t>
      </w:r>
    </w:p>
    <w:p>
      <w:pPr>
        <w:pStyle w:val="TextBody"/>
        <w:numPr>
          <w:ilvl w:val="0"/>
          <w:numId w:val="2"/>
        </w:numPr>
        <w:tabs>
          <w:tab w:val="left" w:pos="709" w:leader="none"/>
        </w:tabs>
        <w:bidi w:val="0"/>
        <w:ind w:left="709" w:right="0" w:hanging="283"/>
        <w:jc w:val="left"/>
        <w:rPr/>
      </w:pPr>
      <w:r>
        <w:rPr/>
        <w:t xml:space="preserve">Well-understood failure behavior </w:t>
      </w:r>
    </w:p>
    <w:p>
      <w:pPr>
        <w:pStyle w:val="TextBody"/>
        <w:bidi w:val="0"/>
        <w:jc w:val="left"/>
        <w:rPr/>
      </w:pPr>
      <w:r>
        <w:rPr/>
        <w:t>Disadvantages:</w:t>
      </w:r>
    </w:p>
    <w:p>
      <w:pPr>
        <w:pStyle w:val="TextBody"/>
        <w:numPr>
          <w:ilvl w:val="0"/>
          <w:numId w:val="3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/>
        <w:t xml:space="preserve">Heavy </w:t>
      </w:r>
    </w:p>
    <w:p>
      <w:pPr>
        <w:pStyle w:val="TextBody"/>
        <w:numPr>
          <w:ilvl w:val="0"/>
          <w:numId w:val="3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/>
        <w:t xml:space="preserve">Significant voltage sag under high current </w:t>
      </w:r>
    </w:p>
    <w:p>
      <w:pPr>
        <w:pStyle w:val="TextBody"/>
        <w:numPr>
          <w:ilvl w:val="0"/>
          <w:numId w:val="3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/>
        <w:t xml:space="preserve">Lead-acid capacity is strongly dependent on discharge rate </w:t>
      </w:r>
    </w:p>
    <w:p>
      <w:pPr>
        <w:pStyle w:val="TextBody"/>
        <w:numPr>
          <w:ilvl w:val="0"/>
          <w:numId w:val="3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/>
        <w:t xml:space="preserve">Less usable capacity at high discharge rates </w:t>
      </w:r>
    </w:p>
    <w:p>
      <w:pPr>
        <w:pStyle w:val="TextBody"/>
        <w:numPr>
          <w:ilvl w:val="0"/>
          <w:numId w:val="3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/>
        <w:t xml:space="preserve">Shorter useful service life compared with LTO </w:t>
      </w:r>
    </w:p>
    <w:p>
      <w:pPr>
        <w:pStyle w:val="TextBody"/>
        <w:numPr>
          <w:ilvl w:val="0"/>
          <w:numId w:val="3"/>
        </w:numPr>
        <w:tabs>
          <w:tab w:val="left" w:pos="709" w:leader="none"/>
        </w:tabs>
        <w:bidi w:val="0"/>
        <w:ind w:left="709" w:right="0" w:hanging="283"/>
        <w:jc w:val="left"/>
        <w:rPr/>
      </w:pPr>
      <w:r>
        <w:rPr/>
        <w:t xml:space="preserve">More mass for the same starting/emergency-storage capability </w:t>
      </w:r>
    </w:p>
    <w:p>
      <w:pPr>
        <w:pStyle w:val="TextBody"/>
        <w:bidi w:val="0"/>
        <w:jc w:val="left"/>
        <w:rPr/>
      </w:pPr>
      <w:r>
        <w:rPr/>
        <w:t>The PC680 is a 16-Ah battery, but Odyssey's published discharge data show the practical capacity falling substantially at higher discharge rates. That's why simply saying "16 Ah" doesn't tell the whole emergency-power story.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Heading1"/>
        <w:bidi w:val="0"/>
        <w:jc w:val="left"/>
        <w:rPr/>
      </w:pPr>
      <w:r>
        <w:rPr/>
        <w:t>2. LFP — the high-power lithium choice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 xml:space="preserve"> </w:t>
      </w:r>
      <w:r>
        <w:rPr>
          <w:rStyle w:val="StrongEmphasis"/>
        </w:rPr>
        <w:t>ETX900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 </w:t>
      </w:r>
      <w:r>
        <w:rPr/>
        <w:t>the ETX900-TSO is specified at:</w:t>
      </w:r>
    </w:p>
    <w:p>
      <w:pPr>
        <w:pStyle w:val="TextBody"/>
        <w:numPr>
          <w:ilvl w:val="0"/>
          <w:numId w:val="4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/>
        <w:t xml:space="preserve">13.2 V </w:t>
      </w:r>
    </w:p>
    <w:p>
      <w:pPr>
        <w:pStyle w:val="TextBody"/>
        <w:numPr>
          <w:ilvl w:val="0"/>
          <w:numId w:val="4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/>
        <w:t xml:space="preserve">15.6 Ah </w:t>
      </w:r>
    </w:p>
    <w:p>
      <w:pPr>
        <w:pStyle w:val="TextBody"/>
        <w:numPr>
          <w:ilvl w:val="0"/>
          <w:numId w:val="4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/>
        <w:t xml:space="preserve">800 A peak power </w:t>
      </w:r>
    </w:p>
    <w:p>
      <w:pPr>
        <w:pStyle w:val="TextBody"/>
        <w:numPr>
          <w:ilvl w:val="0"/>
          <w:numId w:val="4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/>
        <w:t xml:space="preserve">600 A rated power </w:t>
      </w:r>
    </w:p>
    <w:p>
      <w:pPr>
        <w:pStyle w:val="TextBody"/>
        <w:numPr>
          <w:ilvl w:val="0"/>
          <w:numId w:val="4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/>
        <w:t xml:space="preserve">31 A maximum continuous discharge </w:t>
      </w:r>
    </w:p>
    <w:p>
      <w:pPr>
        <w:pStyle w:val="TextBody"/>
        <w:numPr>
          <w:ilvl w:val="0"/>
          <w:numId w:val="4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/>
        <w:t xml:space="preserve">13.9–14.6 V charging </w:t>
      </w:r>
    </w:p>
    <w:p>
      <w:pPr>
        <w:pStyle w:val="TextBody"/>
        <w:numPr>
          <w:ilvl w:val="0"/>
          <w:numId w:val="4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/>
        <w:t xml:space="preserve">5.4 lb </w:t>
      </w:r>
    </w:p>
    <w:p>
      <w:pPr>
        <w:pStyle w:val="TextBody"/>
        <w:numPr>
          <w:ilvl w:val="0"/>
          <w:numId w:val="4"/>
        </w:numPr>
        <w:tabs>
          <w:tab w:val="left" w:pos="709" w:leader="none"/>
        </w:tabs>
        <w:bidi w:val="0"/>
        <w:ind w:left="709" w:right="0" w:hanging="283"/>
        <w:jc w:val="left"/>
        <w:rPr/>
      </w:pPr>
      <w:r>
        <w:rPr/>
        <w:t xml:space="preserve">FAA TSO-C179b </w:t>
      </w:r>
    </w:p>
    <w:p>
      <w:pPr>
        <w:pStyle w:val="TextBody"/>
        <w:bidi w:val="0"/>
        <w:jc w:val="left"/>
        <w:rPr/>
      </w:pPr>
      <w:r>
        <w:rPr/>
        <w:t xml:space="preserve">Its big selling point is </w:t>
      </w:r>
      <w:r>
        <w:rPr>
          <w:rStyle w:val="StrongEmphasis"/>
        </w:rPr>
        <w:t>power density</w:t>
      </w:r>
      <w:r>
        <w:rPr/>
        <w:t>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For aircraft starting:</w:t>
      </w:r>
    </w:p>
    <w:p>
      <w:pPr>
        <w:pStyle w:val="Quotations"/>
        <w:bidi w:val="0"/>
        <w:spacing w:before="0" w:after="283"/>
        <w:ind w:left="567" w:right="567" w:hanging="0"/>
        <w:jc w:val="left"/>
        <w:rPr/>
      </w:pPr>
      <w:r>
        <w:rPr>
          <w:rStyle w:val="StrongEmphasis"/>
        </w:rPr>
        <w:t>LFP gives you tremendous starting power in a relatively small package.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But it achieves this with a sophisticated battery-management system. EarthX documents BMS functions including overcharge, over-discharge, excessive-cranking, high-temperature and short-circuit protection. 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Heading1"/>
        <w:bidi w:val="0"/>
        <w:jc w:val="left"/>
        <w:rPr/>
      </w:pPr>
      <w:r>
        <w:rPr/>
        <w:t>3.  Sodium — your alternative to LFP</w:t>
      </w:r>
    </w:p>
    <w:p>
      <w:pPr>
        <w:pStyle w:val="Quotations"/>
        <w:bidi w:val="0"/>
        <w:spacing w:before="0" w:after="283"/>
        <w:ind w:left="567" w:right="567" w:hanging="0"/>
        <w:jc w:val="left"/>
        <w:rPr/>
      </w:pPr>
      <w:r>
        <w:rPr>
          <w:rStyle w:val="StrongEmphasis"/>
        </w:rPr>
        <w:t>Sodium provides an alternative high-power battery architecture without making the customer choose LFP simply because it is the only modern lithium-type option available.</w:t>
      </w:r>
    </w:p>
    <w:p>
      <w:pPr>
        <w:pStyle w:val="Heading3"/>
        <w:bidi w:val="0"/>
        <w:jc w:val="left"/>
        <w:rPr/>
      </w:pPr>
      <w:r>
        <w:rPr/>
        <w:t>High starting power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A Sodium battery is engineered around the </w:t>
      </w:r>
      <w:r>
        <w:rPr>
          <w:rStyle w:val="StrongEmphasis"/>
        </w:rPr>
        <w:t>actual aircraft starting requirement</w:t>
      </w:r>
      <w:r>
        <w:rPr/>
        <w:t>, rather than maximizing Ah.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For a starter battery, that's important.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The aircraft doesn't care whether the battery has 10Ah or 16 Ah or 20 Ah when the starter needs hundreds of amps.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It cares about: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Voltage × current × time.</w:t>
      </w:r>
    </w:p>
    <w:p>
      <w:pPr>
        <w:pStyle w:val="Heading3"/>
        <w:bidi w:val="0"/>
        <w:jc w:val="left"/>
        <w:rPr/>
      </w:pPr>
      <w:r>
        <w:rPr/>
        <w:t>Simple architecture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A Sodium battery has:</w:t>
      </w:r>
    </w:p>
    <w:p>
      <w:pPr>
        <w:pStyle w:val="TextBody"/>
        <w:numPr>
          <w:ilvl w:val="0"/>
          <w:numId w:val="5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/>
        <w:t xml:space="preserve">No BMS </w:t>
      </w:r>
    </w:p>
    <w:p>
      <w:pPr>
        <w:pStyle w:val="TextBody"/>
        <w:numPr>
          <w:ilvl w:val="0"/>
          <w:numId w:val="5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/>
        <w:t xml:space="preserve">No internal contactors </w:t>
      </w:r>
    </w:p>
    <w:p>
      <w:pPr>
        <w:pStyle w:val="TextBody"/>
        <w:numPr>
          <w:ilvl w:val="0"/>
          <w:numId w:val="5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/>
        <w:t xml:space="preserve">No electronic switching </w:t>
      </w:r>
    </w:p>
    <w:p>
      <w:pPr>
        <w:pStyle w:val="TextBody"/>
        <w:numPr>
          <w:ilvl w:val="0"/>
          <w:numId w:val="5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/>
        <w:t xml:space="preserve">No internal protection electronics </w:t>
      </w:r>
    </w:p>
    <w:p>
      <w:pPr>
        <w:pStyle w:val="TextBody"/>
        <w:numPr>
          <w:ilvl w:val="0"/>
          <w:numId w:val="5"/>
        </w:numPr>
        <w:tabs>
          <w:tab w:val="left" w:pos="709" w:leader="none"/>
        </w:tabs>
        <w:bidi w:val="0"/>
        <w:spacing w:before="0" w:after="0"/>
        <w:ind w:left="709" w:right="0" w:hanging="283"/>
        <w:jc w:val="left"/>
        <w:rPr/>
      </w:pPr>
      <w:r>
        <w:rPr>
          <w:rStyle w:val="StrongEmphasis"/>
        </w:rPr>
        <w:t>A high-power sodium battery using a simple, passive battery architecture.</w:t>
      </w:r>
    </w:p>
    <w:p>
      <w:pPr>
        <w:pStyle w:val="HorizontalLine"/>
        <w:suppressLineNumbers/>
        <w:pBdr>
          <w:bottom w:val="double" w:sz="2" w:space="0" w:color="808080"/>
        </w:pBdr>
        <w:bidi w:val="0"/>
        <w:spacing w:before="0" w:after="283"/>
        <w:jc w:val="left"/>
        <w:rPr/>
      </w:pPr>
      <w:r>
        <w:rPr/>
      </w:r>
    </w:p>
    <w:p>
      <w:pPr>
        <w:pStyle w:val="Heading1"/>
        <w:bidi w:val="0"/>
        <w:jc w:val="left"/>
        <w:rPr/>
      </w:pPr>
      <w:r>
        <w:rPr/>
        <w:t>4. LTO — your long-life/high-endurance alternative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The Toshiba SCiB has characteristics that are unusually well suited to an aircraft battery application.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Toshiba specifically states that SCiB tolerates </w:t>
      </w:r>
      <w:r>
        <w:rPr>
          <w:rStyle w:val="StrongEmphasis"/>
        </w:rPr>
        <w:t>continuous constant-voltage float charging</w:t>
      </w:r>
      <w:r>
        <w:rPr/>
        <w:t>, which is extremely relevant to an aircraft electrical system. Toshiba also reports more than 70% capacity retention after 20,000 cycles under specified conditions.</w:t>
      </w:r>
    </w:p>
    <w:p>
      <w:pPr>
        <w:pStyle w:val="Heading3"/>
        <w:bidi w:val="0"/>
        <w:jc w:val="left"/>
        <w:rPr/>
      </w:pPr>
      <w:r>
        <w:rPr/>
        <w:t>14.6-V aircraft bus → 2.43 V/cell → ~80% SOC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>That means the LTO doesn't need to reach a conventional "full charge" voltage to have substantial stored energy.</w:t>
      </w:r>
    </w:p>
    <w:p>
      <w:pPr>
        <w:pStyle w:val="Quotations"/>
        <w:bidi w:val="0"/>
        <w:spacing w:before="0" w:after="283"/>
        <w:ind w:left="567" w:right="567" w:hanging="0"/>
        <w:jc w:val="left"/>
        <w:rPr/>
      </w:pPr>
      <w:r>
        <w:rPr>
          <w:rStyle w:val="StrongEmphasis"/>
        </w:rPr>
        <w:t>LTO sacrifices some energy storage at the aircraft's normal 14.6-V operating point, but still retains approximately 15.6 Ah from a 20-Ah cell, while offering exceptionally long cycle life and excellent high-current capability.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Toshiba rates the 20-Ah high-energy SCiB at </w:t>
      </w:r>
      <w:r>
        <w:rPr>
          <w:rStyle w:val="StrongEmphasis"/>
        </w:rPr>
        <w:t>1,200 W output at 50% SOC for 10 seconds at 25°C</w:t>
      </w:r>
      <w:r>
        <w:rPr/>
        <w:t xml:space="preserve">. 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rStyle w:val="StrongEmphasis"/>
        </w:rPr>
        <w:t>15 A × ~13 V ≈ 195 W.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/>
        <w:t xml:space="preserve">So an alternator out scenario with 15A load is </w:t>
      </w:r>
      <w:r>
        <w:rPr>
          <w:rStyle w:val="StrongEmphasis"/>
        </w:rPr>
        <w:t>nowhere near the LTO cell's high-power capability</w:t>
      </w:r>
      <w:r>
        <w:rPr/>
        <w:t>.</w:t>
      </w:r>
    </w:p>
    <w:p>
      <w:pPr>
        <w:pStyle w:val="Normal"/>
        <w:bidi w:val="0"/>
        <w:jc w:val="left"/>
        <w:rPr/>
      </w:pPr>
      <w:r>
        <w:rPr/>
      </w:r>
    </w:p>
    <w:tbl>
      <w:tblPr>
        <w:tblW w:w="9972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84"/>
        <w:gridCol w:w="1396"/>
        <w:gridCol w:w="1941"/>
        <w:gridCol w:w="2058"/>
        <w:gridCol w:w="2693"/>
      </w:tblGrid>
      <w:tr>
        <w:trPr>
          <w:tblHeader w:val="true"/>
        </w:trPr>
        <w:tc>
          <w:tcPr>
            <w:tcW w:w="1884" w:type="dxa"/>
            <w:tcBorders/>
            <w:vAlign w:val="center"/>
          </w:tcPr>
          <w:p>
            <w:pPr>
              <w:pStyle w:val="TableHeading"/>
              <w:widowControl w:val="false"/>
              <w:bidi w:val="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96" w:type="dxa"/>
            <w:tcBorders/>
            <w:vAlign w:val="center"/>
          </w:tcPr>
          <w:p>
            <w:pPr>
              <w:pStyle w:val="TableHeading"/>
              <w:widowControl w:val="false"/>
              <w:suppressLineNumbers/>
              <w:bidi w:val="0"/>
              <w:jc w:val="center"/>
              <w:rPr/>
            </w:pPr>
            <w:r>
              <w:rPr>
                <w:rStyle w:val="StrongEmphasis"/>
                <w:b/>
              </w:rPr>
              <w:t>AGM</w:t>
            </w:r>
          </w:p>
        </w:tc>
        <w:tc>
          <w:tcPr>
            <w:tcW w:w="1941" w:type="dxa"/>
            <w:tcBorders/>
            <w:vAlign w:val="center"/>
          </w:tcPr>
          <w:p>
            <w:pPr>
              <w:pStyle w:val="TableHeading"/>
              <w:widowControl w:val="false"/>
              <w:suppressLineNumbers/>
              <w:bidi w:val="0"/>
              <w:jc w:val="center"/>
              <w:rPr/>
            </w:pPr>
            <w:r>
              <w:rPr>
                <w:rStyle w:val="StrongEmphasis"/>
                <w:b/>
              </w:rPr>
              <w:t>LFP</w:t>
            </w:r>
          </w:p>
        </w:tc>
        <w:tc>
          <w:tcPr>
            <w:tcW w:w="2058" w:type="dxa"/>
            <w:tcBorders/>
            <w:vAlign w:val="center"/>
          </w:tcPr>
          <w:p>
            <w:pPr>
              <w:pStyle w:val="TableHeading"/>
              <w:widowControl w:val="false"/>
              <w:suppressLineNumbers/>
              <w:bidi w:val="0"/>
              <w:jc w:val="center"/>
              <w:rPr/>
            </w:pPr>
            <w:r>
              <w:rPr>
                <w:rStyle w:val="StrongEmphasis"/>
                <w:b/>
              </w:rPr>
              <w:t>NFPP Sodium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TableHeading"/>
              <w:widowControl w:val="false"/>
              <w:suppressLineNumbers/>
              <w:bidi w:val="0"/>
              <w:jc w:val="center"/>
              <w:rPr/>
            </w:pPr>
            <w:r>
              <w:rPr>
                <w:rStyle w:val="StrongEmphasis"/>
                <w:b/>
              </w:rPr>
              <w:t>LTO</w:t>
            </w:r>
          </w:p>
        </w:tc>
      </w:tr>
      <w:tr>
        <w:trPr/>
        <w:tc>
          <w:tcPr>
            <w:tcW w:w="188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Starting power</w:t>
            </w:r>
          </w:p>
        </w:tc>
        <w:tc>
          <w:tcPr>
            <w:tcW w:w="13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Good</w:t>
            </w:r>
          </w:p>
        </w:tc>
        <w:tc>
          <w:tcPr>
            <w:tcW w:w="194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Excellent</w:t>
            </w:r>
          </w:p>
        </w:tc>
        <w:tc>
          <w:tcPr>
            <w:tcW w:w="205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Excellent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Excellent</w:t>
            </w:r>
          </w:p>
        </w:tc>
      </w:tr>
      <w:tr>
        <w:trPr/>
        <w:tc>
          <w:tcPr>
            <w:tcW w:w="188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Emergency endurance</w:t>
            </w:r>
          </w:p>
        </w:tc>
        <w:tc>
          <w:tcPr>
            <w:tcW w:w="13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Good</w:t>
            </w:r>
          </w:p>
        </w:tc>
        <w:tc>
          <w:tcPr>
            <w:tcW w:w="194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Very good</w:t>
            </w:r>
          </w:p>
        </w:tc>
        <w:tc>
          <w:tcPr>
            <w:tcW w:w="205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Good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Excellent</w:t>
            </w:r>
          </w:p>
        </w:tc>
      </w:tr>
      <w:tr>
        <w:trPr/>
        <w:tc>
          <w:tcPr>
            <w:tcW w:w="188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Weight</w:t>
            </w:r>
          </w:p>
        </w:tc>
        <w:tc>
          <w:tcPr>
            <w:tcW w:w="13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Poor</w:t>
            </w:r>
          </w:p>
        </w:tc>
        <w:tc>
          <w:tcPr>
            <w:tcW w:w="194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Excellent</w:t>
            </w:r>
          </w:p>
        </w:tc>
        <w:tc>
          <w:tcPr>
            <w:tcW w:w="205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Excellent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Good</w:t>
            </w:r>
          </w:p>
        </w:tc>
      </w:tr>
      <w:tr>
        <w:trPr/>
        <w:tc>
          <w:tcPr>
            <w:tcW w:w="188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Cycle life</w:t>
            </w:r>
          </w:p>
        </w:tc>
        <w:tc>
          <w:tcPr>
            <w:tcW w:w="13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Fair</w:t>
            </w:r>
          </w:p>
        </w:tc>
        <w:tc>
          <w:tcPr>
            <w:tcW w:w="194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Good</w:t>
            </w:r>
          </w:p>
        </w:tc>
        <w:tc>
          <w:tcPr>
            <w:tcW w:w="205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Good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Exceptional</w:t>
            </w:r>
          </w:p>
        </w:tc>
      </w:tr>
      <w:tr>
        <w:trPr/>
        <w:tc>
          <w:tcPr>
            <w:tcW w:w="188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Float/continuous charging</w:t>
            </w:r>
          </w:p>
        </w:tc>
        <w:tc>
          <w:tcPr>
            <w:tcW w:w="13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Excellent</w:t>
            </w:r>
          </w:p>
        </w:tc>
        <w:tc>
          <w:tcPr>
            <w:tcW w:w="194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Good</w:t>
            </w:r>
          </w:p>
        </w:tc>
        <w:tc>
          <w:tcPr>
            <w:tcW w:w="2058" w:type="dxa"/>
            <w:tcBorders/>
            <w:vAlign w:val="center"/>
          </w:tcPr>
          <w:p>
            <w:pPr>
              <w:pStyle w:val="TableContents"/>
              <w:widowControl w:val="false"/>
              <w:bidi w:val="0"/>
              <w:jc w:val="left"/>
              <w:rPr/>
            </w:pPr>
            <w:r>
              <w:rPr/>
              <w:t>Very good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Excellent</w:t>
            </w:r>
          </w:p>
        </w:tc>
      </w:tr>
      <w:tr>
        <w:trPr/>
        <w:tc>
          <w:tcPr>
            <w:tcW w:w="188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Electronics required</w:t>
            </w:r>
          </w:p>
        </w:tc>
        <w:tc>
          <w:tcPr>
            <w:tcW w:w="13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None</w:t>
            </w:r>
          </w:p>
        </w:tc>
        <w:tc>
          <w:tcPr>
            <w:tcW w:w="194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BMS</w:t>
            </w:r>
          </w:p>
        </w:tc>
        <w:tc>
          <w:tcPr>
            <w:tcW w:w="205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 xml:space="preserve">None 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None required at cell level</w:t>
            </w:r>
          </w:p>
        </w:tc>
      </w:tr>
      <w:tr>
        <w:trPr/>
        <w:tc>
          <w:tcPr>
            <w:tcW w:w="188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Thermal/failure architecture</w:t>
            </w:r>
          </w:p>
        </w:tc>
        <w:tc>
          <w:tcPr>
            <w:tcW w:w="13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Conventional</w:t>
            </w:r>
          </w:p>
        </w:tc>
        <w:tc>
          <w:tcPr>
            <w:tcW w:w="194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Requires BMS/thermal controls</w:t>
            </w:r>
          </w:p>
        </w:tc>
        <w:tc>
          <w:tcPr>
            <w:tcW w:w="205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Different chemistry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Very stable LTO chemistry</w:t>
            </w:r>
          </w:p>
        </w:tc>
      </w:tr>
      <w:tr>
        <w:trPr/>
        <w:tc>
          <w:tcPr>
            <w:tcW w:w="1884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Best reason to buy</w:t>
            </w:r>
          </w:p>
        </w:tc>
        <w:tc>
          <w:tcPr>
            <w:tcW w:w="139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Familiarity</w:t>
            </w:r>
          </w:p>
        </w:tc>
        <w:tc>
          <w:tcPr>
            <w:tcW w:w="1941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Maximum power/weight</w:t>
            </w:r>
          </w:p>
        </w:tc>
        <w:tc>
          <w:tcPr>
            <w:tcW w:w="205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Simple high-power alternative</w:t>
            </w:r>
          </w:p>
        </w:tc>
        <w:tc>
          <w:tcPr>
            <w:tcW w:w="2693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>
                <w:rStyle w:val="StrongEmphasis"/>
              </w:rPr>
              <w:t>Long life + endurance + charging tolerance</w:t>
            </w:r>
          </w:p>
        </w:tc>
      </w:tr>
    </w:tbl>
    <w:p>
      <w:pPr>
        <w:pStyle w:val="Normal"/>
        <w:bidi w:val="0"/>
        <w:jc w:val="lef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-76200</wp:posOffset>
            </wp:positionH>
            <wp:positionV relativeFrom="paragraph">
              <wp:posOffset>582930</wp:posOffset>
            </wp:positionV>
            <wp:extent cx="6332220" cy="422148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4221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paragraph" w:styleId="Heading3">
    <w:name w:val="Heading 3"/>
    <w:basedOn w:val="Heading"/>
    <w:next w:val="TextBody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Quotations">
    <w:name w:val="Quotations"/>
    <w:basedOn w:val="Normal"/>
    <w:qFormat/>
    <w:pPr>
      <w:spacing w:before="0" w:after="283"/>
      <w:ind w:left="567" w:right="567" w:hanging="0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20278</TotalTime>
  <Application>LibreOffice/7.3.2.2$Windows_X86_64 LibreOffice_project/49f2b1bff42cfccbd8f788c8dc32c1c309559be0</Application>
  <AppVersion>15.0000</AppVersion>
  <Pages>5</Pages>
  <Words>1050</Words>
  <Characters>5657</Characters>
  <CharactersWithSpaces>6569</CharactersWithSpaces>
  <Paragraphs>150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2026-09-12T15:45:31Z</dcterms:created>
  <dc:creator/>
  <dc:description/>
  <dc:language>en-US</dc:language>
  <cp:lastModifiedBy/>
  <dcterms:modified xsi:type="dcterms:W3CDTF">2026-10-05T21:31:38Z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