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sz w:val="80"/>
          <w:szCs w:val="80"/>
        </w:rPr>
      </w:pPr>
      <w:r>
        <w:rPr>
          <w:rFonts w:ascii="Arial" w:hAnsi="Arial"/>
          <w:sz w:val="80"/>
          <w:szCs w:val="80"/>
        </w:rPr>
        <w:t>DENDRITE INFORMATION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in LiFePO4 batteries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>Caused by lithium plating</w:t>
      </w:r>
    </w:p>
    <w:p>
      <w:pPr>
        <w:pStyle w:val="Normal"/>
        <w:bidi w:val="0"/>
        <w:jc w:val="lef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tbl>
      <w:tblPr>
        <w:tblW w:w="9972" w:type="dxa"/>
        <w:jc w:val="left"/>
        <w:tblInd w:w="0" w:type="dxa"/>
        <w:shd w:fill="FFFFFF" w:val="clear"/>
        <w:tblLayout w:type="fixed"/>
        <w:tblCellMar>
          <w:top w:w="0" w:type="dxa"/>
          <w:left w:w="28" w:type="dxa"/>
          <w:bottom w:w="28" w:type="dxa"/>
          <w:right w:w="0" w:type="dxa"/>
        </w:tblCellMar>
      </w:tblPr>
      <w:tblGrid>
        <w:gridCol w:w="1809"/>
        <w:gridCol w:w="2900"/>
        <w:gridCol w:w="5263"/>
      </w:tblGrid>
      <w:tr>
        <w:trPr>
          <w:tblHeader w:val="true"/>
        </w:trPr>
        <w:tc>
          <w:tcPr>
            <w:tcW w:w="1809" w:type="dxa"/>
            <w:tcBorders>
              <w:left w:val="single" w:sz="2" w:space="0" w:color="EAE7E4"/>
              <w:bottom w:val="single" w:sz="2" w:space="0" w:color="EAE7E4"/>
            </w:tcBorders>
            <w:shd w:fill="FFFFFF" w:val="clear"/>
            <w:vAlign w:val="center"/>
          </w:tcPr>
          <w:p>
            <w:pPr>
              <w:pStyle w:val="TableHeading"/>
              <w:bidi w:val="0"/>
              <w:ind w:left="0" w:right="0" w:hanging="0"/>
              <w:rPr>
                <w:b/>
                <w:color w:val="0C0C14"/>
              </w:rPr>
            </w:pPr>
            <w:r>
              <w:rPr>
                <w:b/>
                <w:color w:val="0C0C14"/>
              </w:rPr>
              <w:t>Parameter</w:t>
            </w:r>
          </w:p>
        </w:tc>
        <w:tc>
          <w:tcPr>
            <w:tcW w:w="2900" w:type="dxa"/>
            <w:tcBorders>
              <w:left w:val="single" w:sz="2" w:space="0" w:color="EAE7E4"/>
              <w:bottom w:val="single" w:sz="2" w:space="0" w:color="EAE7E4"/>
            </w:tcBorders>
            <w:shd w:fill="FFFFFF" w:val="clear"/>
            <w:vAlign w:val="center"/>
          </w:tcPr>
          <w:p>
            <w:pPr>
              <w:pStyle w:val="TableHeading"/>
              <w:bidi w:val="0"/>
              <w:ind w:left="0" w:right="0" w:hanging="0"/>
              <w:rPr>
                <w:b/>
                <w:color w:val="0C0C14"/>
              </w:rPr>
            </w:pPr>
            <w:r>
              <w:rPr>
                <w:b/>
                <w:color w:val="0C0C14"/>
              </w:rPr>
              <w:t>Safe limit for LFP (per cell)</w:t>
            </w:r>
          </w:p>
        </w:tc>
        <w:tc>
          <w:tcPr>
            <w:tcW w:w="5263" w:type="dxa"/>
            <w:tcBorders>
              <w:bottom w:val="single" w:sz="2" w:space="0" w:color="EAE7E4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TableHeading"/>
              <w:bidi w:val="0"/>
              <w:ind w:left="0" w:right="0" w:hanging="0"/>
              <w:rPr>
                <w:b/>
                <w:color w:val="0C0C14"/>
              </w:rPr>
            </w:pPr>
            <w:r>
              <w:rPr>
                <w:b/>
                <w:color w:val="0C0C14"/>
              </w:rPr>
              <w:t>Why the limit matters</w:t>
            </w:r>
          </w:p>
        </w:tc>
      </w:tr>
      <w:tr>
        <w:trPr/>
        <w:tc>
          <w:tcPr>
            <w:tcW w:w="1809" w:type="dxa"/>
            <w:tcBorders>
              <w:left w:val="single" w:sz="2" w:space="0" w:color="EAE7E4"/>
              <w:bottom w:val="single" w:sz="2" w:space="0" w:color="EAE7E4"/>
            </w:tcBorders>
            <w:shd w:fill="FFFFFF" w:val="clear"/>
            <w:vAlign w:val="center"/>
          </w:tcPr>
          <w:p>
            <w:pPr>
              <w:pStyle w:val="TableContents"/>
              <w:bidi w:val="0"/>
              <w:ind w:left="0" w:right="0" w:hanging="0"/>
              <w:jc w:val="left"/>
              <w:rPr/>
            </w:pPr>
            <w:r>
              <w:rPr>
                <w:rStyle w:val="StrongEmphasis"/>
                <w:b/>
                <w:color w:val="0C0C14"/>
              </w:rPr>
              <w:t>Maximum charge voltage</w:t>
            </w:r>
          </w:p>
        </w:tc>
        <w:tc>
          <w:tcPr>
            <w:tcW w:w="2900" w:type="dxa"/>
            <w:tcBorders>
              <w:left w:val="single" w:sz="2" w:space="0" w:color="EAE7E4"/>
              <w:bottom w:val="single" w:sz="2" w:space="0" w:color="EAE7E4"/>
            </w:tcBorders>
            <w:shd w:fill="FFFFFF" w:val="clear"/>
            <w:vAlign w:val="center"/>
          </w:tcPr>
          <w:p>
            <w:pPr>
              <w:pStyle w:val="TableContents"/>
              <w:bidi w:val="0"/>
              <w:ind w:left="0" w:right="0" w:hanging="0"/>
              <w:jc w:val="left"/>
              <w:rPr/>
            </w:pPr>
            <w:r>
              <w:rPr>
                <w:rStyle w:val="StrongEmphasis"/>
                <w:b/>
                <w:color w:val="0C0C14"/>
              </w:rPr>
              <w:t xml:space="preserve">3.65 V ± 0.05 V </w:t>
            </w:r>
          </w:p>
          <w:p>
            <w:pPr>
              <w:pStyle w:val="TableContents"/>
              <w:bidi w:val="0"/>
              <w:ind w:left="0" w:right="0" w:hanging="0"/>
              <w:jc w:val="left"/>
              <w:rPr/>
            </w:pPr>
            <w:r>
              <w:rPr>
                <w:color w:val="0C0C14"/>
              </w:rPr>
              <w:t>(most datasheets specify 3.60 V-3.65 V)</w:t>
            </w:r>
          </w:p>
        </w:tc>
        <w:tc>
          <w:tcPr>
            <w:tcW w:w="5263" w:type="dxa"/>
            <w:tcBorders>
              <w:bottom w:val="single" w:sz="2" w:space="0" w:color="EAE7E4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ind w:left="0" w:right="0" w:hanging="0"/>
              <w:jc w:val="left"/>
              <w:rPr>
                <w:color w:val="0C0C14"/>
              </w:rPr>
            </w:pPr>
            <w:r>
              <w:rPr>
                <w:color w:val="0C0C14"/>
              </w:rPr>
              <w:t>Staying below this voltage keeps the anode potential above 0 V vs. Li/Li⁺, preventing lithium-metal plating on the graphite anode.</w:t>
            </w:r>
          </w:p>
        </w:tc>
      </w:tr>
      <w:tr>
        <w:trPr/>
        <w:tc>
          <w:tcPr>
            <w:tcW w:w="1809" w:type="dxa"/>
            <w:tcBorders>
              <w:left w:val="single" w:sz="2" w:space="0" w:color="EAE7E4"/>
              <w:bottom w:val="single" w:sz="2" w:space="0" w:color="EAE7E4"/>
            </w:tcBorders>
            <w:shd w:fill="FFFFFF" w:val="clear"/>
            <w:vAlign w:val="center"/>
          </w:tcPr>
          <w:p>
            <w:pPr>
              <w:pStyle w:val="TableContents"/>
              <w:bidi w:val="0"/>
              <w:ind w:left="0" w:right="0" w:hanging="0"/>
              <w:jc w:val="left"/>
              <w:rPr/>
            </w:pPr>
            <w:r>
              <w:rPr>
                <w:rStyle w:val="StrongEmphasis"/>
                <w:b/>
                <w:color w:val="0C0C14"/>
              </w:rPr>
              <w:t xml:space="preserve">Charge rate </w:t>
            </w:r>
          </w:p>
          <w:p>
            <w:pPr>
              <w:pStyle w:val="TableContents"/>
              <w:bidi w:val="0"/>
              <w:ind w:left="0" w:right="0" w:hanging="0"/>
              <w:jc w:val="left"/>
              <w:rPr/>
            </w:pPr>
            <w:r>
              <w:rPr>
                <w:rStyle w:val="StrongEmphasis"/>
                <w:b/>
                <w:color w:val="0C0C14"/>
              </w:rPr>
              <w:t>(C-rate)</w:t>
            </w:r>
          </w:p>
        </w:tc>
        <w:tc>
          <w:tcPr>
            <w:tcW w:w="2900" w:type="dxa"/>
            <w:tcBorders>
              <w:left w:val="single" w:sz="2" w:space="0" w:color="EAE7E4"/>
              <w:bottom w:val="single" w:sz="2" w:space="0" w:color="EAE7E4"/>
            </w:tcBorders>
            <w:shd w:fill="FFFFFF" w:val="clear"/>
            <w:vAlign w:val="center"/>
          </w:tcPr>
          <w:p>
            <w:pPr>
              <w:pStyle w:val="TableContents"/>
              <w:bidi w:val="0"/>
              <w:ind w:left="0" w:right="0" w:hanging="0"/>
              <w:jc w:val="left"/>
              <w:rPr/>
            </w:pPr>
            <w:r>
              <w:rPr>
                <w:rStyle w:val="StrongEmphasis"/>
                <w:color w:val="0C0C14"/>
              </w:rPr>
              <w:t>≤ </w:t>
            </w:r>
            <w:r>
              <w:rPr>
                <w:rStyle w:val="StrongEmphasis"/>
                <w:b/>
                <w:color w:val="0C0C14"/>
              </w:rPr>
              <w:t xml:space="preserve">1 C </w:t>
            </w:r>
            <w:r>
              <w:rPr>
                <w:color w:val="0C0C14"/>
              </w:rPr>
              <w:t>for most commercial packs (many OEMs recommend ≤ 0.5 C for longest life)</w:t>
            </w:r>
          </w:p>
        </w:tc>
        <w:tc>
          <w:tcPr>
            <w:tcW w:w="5263" w:type="dxa"/>
            <w:tcBorders>
              <w:bottom w:val="single" w:sz="2" w:space="0" w:color="EAE7E4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ind w:left="0" w:right="0" w:hanging="0"/>
              <w:jc w:val="left"/>
              <w:rPr>
                <w:color w:val="0C0C14"/>
              </w:rPr>
            </w:pPr>
            <w:r>
              <w:rPr>
                <w:color w:val="0C0C14"/>
              </w:rPr>
              <w:t>Higher currents increase local current density, which can exceed the electrolyte’s critical current density (CCD) and force plating even at normal voltage.</w:t>
            </w:r>
          </w:p>
        </w:tc>
      </w:tr>
      <w:tr>
        <w:trPr/>
        <w:tc>
          <w:tcPr>
            <w:tcW w:w="1809" w:type="dxa"/>
            <w:tcBorders>
              <w:left w:val="single" w:sz="2" w:space="0" w:color="EAE7E4"/>
              <w:bottom w:val="single" w:sz="2" w:space="0" w:color="EAE7E4"/>
            </w:tcBorders>
            <w:shd w:fill="FFFFFF" w:val="clear"/>
            <w:vAlign w:val="center"/>
          </w:tcPr>
          <w:p>
            <w:pPr>
              <w:pStyle w:val="TableContents"/>
              <w:bidi w:val="0"/>
              <w:ind w:left="0" w:right="0" w:hanging="0"/>
              <w:jc w:val="left"/>
              <w:rPr/>
            </w:pPr>
            <w:r>
              <w:rPr>
                <w:rStyle w:val="StrongEmphasis"/>
                <w:b/>
                <w:color w:val="0C0C14"/>
              </w:rPr>
              <w:t>Temperature during charge</w:t>
            </w:r>
          </w:p>
        </w:tc>
        <w:tc>
          <w:tcPr>
            <w:tcW w:w="2900" w:type="dxa"/>
            <w:tcBorders>
              <w:left w:val="single" w:sz="2" w:space="0" w:color="EAE7E4"/>
              <w:bottom w:val="single" w:sz="2" w:space="0" w:color="EAE7E4"/>
            </w:tcBorders>
            <w:shd w:fill="FFFFFF" w:val="clear"/>
            <w:vAlign w:val="center"/>
          </w:tcPr>
          <w:p>
            <w:pPr>
              <w:pStyle w:val="TableContents"/>
              <w:bidi w:val="0"/>
              <w:ind w:left="0" w:right="0" w:hanging="0"/>
              <w:jc w:val="left"/>
              <w:rPr/>
            </w:pPr>
            <w:r>
              <w:rPr>
                <w:rStyle w:val="StrongEmphasis"/>
                <w:color w:val="0C0C14"/>
              </w:rPr>
              <w:t>≥ </w:t>
            </w:r>
            <w:r>
              <w:rPr>
                <w:rStyle w:val="StrongEmphasis"/>
                <w:b/>
                <w:color w:val="0C0C14"/>
              </w:rPr>
              <w:t xml:space="preserve">0 °C </w:t>
            </w:r>
            <w:r>
              <w:rPr>
                <w:color w:val="0C0C14"/>
              </w:rPr>
              <w:t>(ideally 15 °C 35 °C)</w:t>
            </w:r>
          </w:p>
        </w:tc>
        <w:tc>
          <w:tcPr>
            <w:tcW w:w="5263" w:type="dxa"/>
            <w:tcBorders>
              <w:bottom w:val="single" w:sz="2" w:space="0" w:color="EAE7E4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ind w:left="0" w:right="0" w:hanging="0"/>
              <w:jc w:val="left"/>
              <w:rPr>
                <w:color w:val="0C0C14"/>
              </w:rPr>
            </w:pPr>
            <w:r>
              <w:rPr>
                <w:color w:val="0C0C14"/>
              </w:rPr>
              <w:t>Below 0 °C the electrolyte conductivity drops, raising the over-potential for a given current and making plating more likely.</w:t>
            </w:r>
          </w:p>
        </w:tc>
      </w:tr>
      <w:tr>
        <w:trPr/>
        <w:tc>
          <w:tcPr>
            <w:tcW w:w="1809" w:type="dxa"/>
            <w:tcBorders>
              <w:left w:val="single" w:sz="2" w:space="0" w:color="EAE7E4"/>
            </w:tcBorders>
            <w:shd w:fill="F8FAFC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ind w:left="0" w:right="0" w:hanging="0"/>
              <w:jc w:val="left"/>
              <w:rPr/>
            </w:pPr>
            <w:r>
              <w:rPr>
                <w:rStyle w:val="StrongEmphasis"/>
                <w:b/>
                <w:color w:val="0C0C14"/>
              </w:rPr>
              <w:t>Discharge cut-off</w:t>
            </w:r>
          </w:p>
        </w:tc>
        <w:tc>
          <w:tcPr>
            <w:tcW w:w="2900" w:type="dxa"/>
            <w:tcBorders>
              <w:left w:val="single" w:sz="2" w:space="0" w:color="EAE7E4"/>
            </w:tcBorders>
            <w:shd w:fill="F8FAFC" w:val="clear"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ind w:left="0" w:right="0" w:hanging="0"/>
              <w:jc w:val="left"/>
              <w:rPr/>
            </w:pPr>
            <w:r>
              <w:rPr>
                <w:rStyle w:val="StrongEmphasis"/>
                <w:color w:val="0C0C14"/>
              </w:rPr>
              <w:t>≈ </w:t>
            </w:r>
            <w:r>
              <w:rPr>
                <w:rStyle w:val="StrongEmphasis"/>
                <w:b/>
                <w:color w:val="0C0C14"/>
              </w:rPr>
              <w:t xml:space="preserve">2.5 V – 2.8 V </w:t>
            </w:r>
          </w:p>
          <w:p>
            <w:pPr>
              <w:pStyle w:val="TableContents"/>
              <w:bidi w:val="0"/>
              <w:ind w:left="0" w:right="0" w:hanging="0"/>
              <w:jc w:val="left"/>
              <w:rPr/>
            </w:pPr>
            <w:r>
              <w:rPr>
                <w:color w:val="0C0C14"/>
              </w:rPr>
              <w:t>(depends on the pack)</w:t>
            </w:r>
          </w:p>
        </w:tc>
        <w:tc>
          <w:tcPr>
            <w:tcW w:w="5263" w:type="dxa"/>
            <w:tcBorders/>
            <w:shd w:fill="F8FAFC" w:val="clear"/>
            <w:tcMar>
              <w:left w:w="0" w:type="dxa"/>
              <w:bottom w:w="0" w:type="dxa"/>
            </w:tcMar>
            <w:vAlign w:val="center"/>
          </w:tcPr>
          <w:p>
            <w:pPr>
              <w:pStyle w:val="TableContents"/>
              <w:bidi w:val="0"/>
              <w:jc w:val="left"/>
              <w:rPr>
                <w:color w:val="0C0C14"/>
              </w:rPr>
            </w:pPr>
            <w:r>
              <w:rPr>
                <w:color w:val="0C0C14"/>
              </w:rPr>
              <w:t>Discharging too deep stresses the cathode and can also increase internal resistance, indirectly affecting charge-over-potential later.</w:t>
            </w:r>
          </w:p>
        </w:tc>
      </w:tr>
    </w:tbl>
    <w:p>
      <w:pPr>
        <w:pStyle w:val="TextBody"/>
        <w:bidi w:val="0"/>
        <w:spacing w:lineRule="auto" w:line="276" w:before="0" w:after="140"/>
        <w:jc w:val="left"/>
        <w:rPr/>
      </w:pPr>
      <w:r>
        <w:rPr/>
        <w:br/>
      </w:r>
      <w:r>
        <w:rPr>
          <w:rStyle w:val="StrongEmphasis"/>
          <w:rFonts w:ascii="InterVariable;system-ui;sans-serif" w:hAnsi="InterVariable;system-ui;sans-serif"/>
          <w:b/>
          <w:i w:val="false"/>
          <w:caps w:val="false"/>
          <w:smallCaps w:val="false"/>
          <w:color w:val="24292E"/>
          <w:spacing w:val="0"/>
          <w:sz w:val="24"/>
          <w:szCs w:val="24"/>
        </w:rPr>
        <w:t>Charge-rate control</w:t>
      </w:r>
    </w:p>
    <w:p>
      <w:pPr>
        <w:pStyle w:val="TextBody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left"/>
        <w:rPr/>
      </w:pPr>
      <w:r>
        <w:rPr>
          <w:rFonts w:ascii="InterVariable;system-ui;sans-serif" w:hAnsi="InterVariable;system-ui;sans-serif"/>
          <w:b w:val="false"/>
          <w:i w:val="false"/>
          <w:caps w:val="false"/>
          <w:smallCaps w:val="false"/>
          <w:color w:val="24292E"/>
          <w:spacing w:val="0"/>
          <w:sz w:val="21"/>
          <w:szCs w:val="21"/>
        </w:rPr>
        <w:t xml:space="preserve">Even at 3.65 V, a </w:t>
      </w:r>
      <w:r>
        <w:rPr>
          <w:rStyle w:val="StrongEmphasis"/>
          <w:rFonts w:ascii="InterVariable;system-ui;sans-serif" w:hAnsi="InterVariable;system-ui;sans-serif"/>
          <w:b/>
          <w:i w:val="false"/>
          <w:caps w:val="false"/>
          <w:smallCaps w:val="false"/>
          <w:color w:val="24292E"/>
          <w:spacing w:val="0"/>
          <w:sz w:val="21"/>
          <w:szCs w:val="21"/>
        </w:rPr>
        <w:t xml:space="preserve">very high current </w:t>
      </w:r>
      <w:r>
        <w:rPr>
          <w:rFonts w:ascii="InterVariable;system-ui;sans-serif" w:hAnsi="InterVariable;system-ui;sans-serif"/>
          <w:b w:val="false"/>
          <w:i w:val="false"/>
          <w:caps w:val="false"/>
          <w:smallCaps w:val="false"/>
          <w:color w:val="24292E"/>
          <w:spacing w:val="0"/>
          <w:sz w:val="21"/>
          <w:szCs w:val="21"/>
        </w:rPr>
        <w:t xml:space="preserve">can create a large IR drop across the cell’s internal resistance, effectively lowering the anode’s </w:t>
      </w:r>
      <w:r>
        <w:rPr>
          <w:rStyle w:val="Emphasis"/>
          <w:rFonts w:ascii="InterVariable;system-ui;sans-serif" w:hAnsi="InterVariable;system-ui;sans-serif"/>
          <w:b w:val="false"/>
          <w:i w:val="false"/>
          <w:caps w:val="false"/>
          <w:smallCaps w:val="false"/>
          <w:color w:val="24292E"/>
          <w:spacing w:val="0"/>
          <w:sz w:val="21"/>
          <w:szCs w:val="21"/>
        </w:rPr>
        <w:t xml:space="preserve">local </w:t>
      </w:r>
      <w:r>
        <w:rPr>
          <w:rFonts w:ascii="InterVariable;system-ui;sans-serif" w:hAnsi="InterVariable;system-ui;sans-serif"/>
          <w:b w:val="false"/>
          <w:i w:val="false"/>
          <w:caps w:val="false"/>
          <w:smallCaps w:val="false"/>
          <w:color w:val="24292E"/>
          <w:spacing w:val="0"/>
          <w:sz w:val="21"/>
          <w:szCs w:val="21"/>
        </w:rPr>
        <w:t>potential enough to initiate plating.</w:t>
      </w:r>
    </w:p>
    <w:p>
      <w:pPr>
        <w:pStyle w:val="TextBody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left"/>
        <w:rPr>
          <w:rFonts w:ascii="InterVariable;system-ui;sans-serif" w:hAnsi="InterVariable;system-ui;sans-serif"/>
          <w:b w:val="false"/>
          <w:i w:val="false"/>
          <w:caps w:val="false"/>
          <w:smallCaps w:val="false"/>
          <w:color w:val="24292E"/>
          <w:spacing w:val="0"/>
          <w:sz w:val="21"/>
          <w:szCs w:val="21"/>
        </w:rPr>
      </w:pPr>
      <w:r>
        <w:rPr>
          <w:rFonts w:ascii="InterVariable;system-ui;sans-serif" w:hAnsi="InterVariable;system-ui;sans-serif"/>
          <w:b w:val="false"/>
          <w:i w:val="false"/>
          <w:caps w:val="false"/>
          <w:smallCaps w:val="false"/>
          <w:color w:val="24292E"/>
          <w:spacing w:val="0"/>
          <w:sz w:val="21"/>
          <w:szCs w:val="21"/>
        </w:rPr>
        <w:t>Limiting to ≤ 1 C (or the manufacturer’s recommendation) keeps the current density below the electrolyte’s CCD for most standard LFP electrolytes.</w:t>
      </w:r>
    </w:p>
    <w:p>
      <w:pPr>
        <w:pStyle w:val="TextBody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left"/>
        <w:rPr/>
      </w:pPr>
      <w:r>
        <w:rPr>
          <w:rStyle w:val="StrongEmphasis"/>
          <w:rFonts w:ascii="InterVariable;system-ui;sans-serif" w:hAnsi="InterVariable;system-ui;sans-serif"/>
          <w:b/>
          <w:i w:val="false"/>
          <w:caps w:val="false"/>
          <w:smallCaps w:val="false"/>
          <w:color w:val="24292E"/>
          <w:spacing w:val="0"/>
          <w:sz w:val="21"/>
          <w:szCs w:val="21"/>
        </w:rPr>
        <w:t>Temperature management</w:t>
      </w:r>
    </w:p>
    <w:p>
      <w:pPr>
        <w:pStyle w:val="TextBody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left"/>
        <w:rPr>
          <w:rFonts w:ascii="InterVariable;system-ui;sans-serif" w:hAnsi="InterVariable;system-ui;sans-serif"/>
          <w:b w:val="false"/>
          <w:i w:val="false"/>
          <w:caps w:val="false"/>
          <w:smallCaps w:val="false"/>
          <w:color w:val="24292E"/>
          <w:spacing w:val="0"/>
          <w:sz w:val="21"/>
          <w:szCs w:val="21"/>
        </w:rPr>
      </w:pPr>
      <w:r>
        <w:rPr>
          <w:rFonts w:ascii="InterVariable;system-ui;sans-serif" w:hAnsi="InterVariable;system-ui;sans-serif"/>
          <w:b w:val="false"/>
          <w:i w:val="false"/>
          <w:caps w:val="false"/>
          <w:smallCaps w:val="false"/>
          <w:color w:val="24292E"/>
          <w:spacing w:val="0"/>
          <w:sz w:val="21"/>
          <w:szCs w:val="21"/>
        </w:rPr>
        <w:t>Cold temperatures increase the electrolyte’s resistance, so the same current produces a larger voltage drop, again risking a negative anode potential.</w:t>
      </w:r>
    </w:p>
    <w:p>
      <w:pPr>
        <w:pStyle w:val="TextBody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left"/>
        <w:rPr>
          <w:rFonts w:ascii="InterVariable;system-ui;sans-serif" w:hAnsi="InterVariable;system-ui;sans-serif"/>
          <w:b w:val="false"/>
          <w:i w:val="false"/>
          <w:caps w:val="false"/>
          <w:smallCaps w:val="false"/>
          <w:color w:val="24292E"/>
          <w:spacing w:val="0"/>
          <w:sz w:val="24"/>
          <w:szCs w:val="24"/>
        </w:rPr>
      </w:pPr>
      <w:r>
        <w:rPr>
          <w:rFonts w:ascii="InterVariable;system-ui;sans-serif" w:hAnsi="InterVariable;system-ui;sans-serif"/>
          <w:b w:val="false"/>
          <w:i w:val="false"/>
          <w:caps w:val="false"/>
          <w:smallCaps w:val="false"/>
          <w:color w:val="24292E"/>
          <w:spacing w:val="0"/>
          <w:sz w:val="21"/>
          <w:szCs w:val="21"/>
        </w:rPr>
        <w:t>Keeping the pack ≥ 0 °C (preferably in the 15 °C 35 °C window) maintains low resistance and stable SEI, reducing the chance of dendrite nucleation</w:t>
      </w:r>
      <w:r>
        <w:rPr>
          <w:rFonts w:ascii="InterVariable;system-ui;sans-serif" w:hAnsi="InterVariable;system-ui;sans-serif"/>
          <w:b w:val="false"/>
          <w:i w:val="false"/>
          <w:caps w:val="false"/>
          <w:smallCaps w:val="false"/>
          <w:color w:val="24292E"/>
          <w:spacing w:val="0"/>
          <w:sz w:val="24"/>
          <w:szCs w:val="24"/>
        </w:rPr>
        <w:t>.</w:t>
      </w:r>
    </w:p>
    <w:p>
      <w:pPr>
        <w:pStyle w:val="Heading2"/>
        <w:bidi w:val="0"/>
        <w:jc w:val="left"/>
        <w:rPr/>
      </w:pPr>
      <w:r>
        <w:rPr/>
        <w:t>How this compares to sodium-ion (since you’re using both)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Interesting contrast:</w:t>
      </w:r>
    </w:p>
    <w:tbl>
      <w:tblPr>
        <w:tblW w:w="504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19"/>
        <w:gridCol w:w="1955"/>
        <w:gridCol w:w="1371"/>
      </w:tblGrid>
      <w:tr>
        <w:trPr>
          <w:tblHeader w:val="true"/>
        </w:trPr>
        <w:tc>
          <w:tcPr>
            <w:tcW w:w="171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Feature</w:t>
            </w:r>
          </w:p>
        </w:tc>
        <w:tc>
          <w:tcPr>
            <w:tcW w:w="1955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LFP</w:t>
            </w:r>
          </w:p>
        </w:tc>
        <w:tc>
          <w:tcPr>
            <w:tcW w:w="1371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Sodium-ion</w:t>
            </w:r>
          </w:p>
        </w:tc>
      </w:tr>
      <w:tr>
        <w:trPr/>
        <w:tc>
          <w:tcPr>
            <w:tcW w:w="17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Dendrite risk</w:t>
            </w:r>
          </w:p>
        </w:tc>
        <w:tc>
          <w:tcPr>
            <w:tcW w:w="19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Low</w:t>
            </w:r>
          </w:p>
        </w:tc>
        <w:tc>
          <w:tcPr>
            <w:tcW w:w="137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>
                <w:rStyle w:val="StrongEmphasis"/>
              </w:rPr>
              <w:t>Very low</w:t>
            </w:r>
          </w:p>
        </w:tc>
      </w:tr>
      <w:tr>
        <w:trPr/>
        <w:tc>
          <w:tcPr>
            <w:tcW w:w="17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Plating tendency</w:t>
            </w:r>
          </w:p>
        </w:tc>
        <w:tc>
          <w:tcPr>
            <w:tcW w:w="19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Possible when cold</w:t>
            </w:r>
          </w:p>
        </w:tc>
        <w:tc>
          <w:tcPr>
            <w:tcW w:w="137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Much harder</w:t>
            </w:r>
          </w:p>
        </w:tc>
      </w:tr>
      <w:tr>
        <w:trPr/>
        <w:tc>
          <w:tcPr>
            <w:tcW w:w="171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Abuse response</w:t>
            </w:r>
          </w:p>
        </w:tc>
        <w:tc>
          <w:tcPr>
            <w:tcW w:w="1955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Benign</w:t>
            </w:r>
          </w:p>
        </w:tc>
        <w:tc>
          <w:tcPr>
            <w:tcW w:w="1371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Very benign</w:t>
            </w:r>
          </w:p>
        </w:tc>
      </w:tr>
    </w:tbl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Sodium-ion is actually </w:t>
      </w:r>
      <w:r>
        <w:rPr>
          <w:rStyle w:val="StrongEmphasis"/>
        </w:rPr>
        <w:t>even more dendrite-resistant</w:t>
      </w:r>
      <w:r>
        <w:rPr/>
        <w:t xml:space="preserve"> than LFP — one of its big selling points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InterVariable">
    <w:altName w:val="system-ui"/>
    <w:charset w:val="00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bullet"/>
      <w:suff w:val="nothing"/>
      <w:lvlText w:val="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LibreOffice/7.3.2.2$Windows_X86_64 LibreOffice_project/49f2b1bff42cfccbd8f788c8dc32c1c309559be0</Application>
  <AppVersion>15.0000</AppVersion>
  <Pages>2</Pages>
  <Words>304</Words>
  <Characters>1646</Characters>
  <CharactersWithSpaces>1910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2026-02-03T10:16:28Z</dcterms:created>
  <dc:creator/>
  <dc:description/>
  <dc:language>en-US</dc:language>
  <cp:lastModifiedBy/>
  <dcterms:modified xsi:type="dcterms:W3CDTF">2026-02-03T11:51:21Z</dcterms:modified>
  <cp:revision>1</cp:revision>
  <dc:subject/>
  <dc:title/>
</cp:coreProperties>
</file>