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t>Cold/freezing temperature effects on a LiFepo4 battery vs a Sodium or LTO chemistry.</w:t>
      </w:r>
    </w:p>
    <w:p>
      <w:pPr>
        <w:pStyle w:val="Normal"/>
        <w:bidi w:val="0"/>
        <w:jc w:val="left"/>
        <w:rPr/>
      </w:pPr>
      <w:r>
        <w:rPr/>
        <w:t xml:space="preserve">Ref: </w:t>
      </w:r>
      <w:hyperlink r:id="rId3">
        <w:r>
          <w:rPr>
            <w:rStyle w:val="InternetLink"/>
          </w:rPr>
          <w:t>https://earthxbatteries.com/earthx-lifepo4-lithium-iron-phosphate-battery-cold-temperature-operation</w:t>
        </w:r>
      </w:hyperlink>
    </w:p>
    <w:p>
      <w:pPr>
        <w:pStyle w:val="Normal"/>
        <w:bidi w:val="0"/>
        <w:jc w:val="left"/>
        <w:rPr/>
      </w:pPr>
      <w:r>
        <w:rPr/>
      </w:r>
    </w:p>
    <w:p>
      <w:pPr>
        <w:pStyle w:val="TextBody"/>
        <w:bidi w:val="0"/>
        <w:jc w:val="left"/>
        <w:rPr>
          <w:rFonts w:ascii="Inter;system-ui;sans-serif" w:hAnsi="Inter;system-ui;sans-serif"/>
          <w:b w:val="false"/>
          <w:i w:val="false"/>
          <w:caps w:val="false"/>
          <w:smallCaps w:val="false"/>
          <w:color w:val="24292E"/>
          <w:spacing w:val="0"/>
          <w:sz w:val="17"/>
        </w:rPr>
      </w:pPr>
      <w:r>
        <w:rPr>
          <w:rFonts w:ascii="Inter;system-ui;sans-serif" w:hAnsi="Inter;system-ui;sans-serif"/>
          <w:b w:val="false"/>
          <w:i w:val="false"/>
          <w:caps w:val="false"/>
          <w:smallCaps w:val="false"/>
          <w:color w:val="24292E"/>
          <w:spacing w:val="0"/>
          <w:sz w:val="17"/>
        </w:rPr>
        <w:t>This is rich material — both pages accidentally undermine their own cold-weather claims while trying to defend them. Here's the analysis:</w:t>
      </w:r>
    </w:p>
    <w:p>
      <w:pPr>
        <w:pStyle w:val="HorizontalLine"/>
        <w:widowControl/>
        <w:bidi w:val="0"/>
        <w:jc w:val="left"/>
        <w:rPr/>
      </w:pPr>
      <w:r>
        <w:rPr/>
      </w:r>
    </w:p>
    <w:p>
      <w:pPr>
        <w:pStyle w:val="Heading2"/>
        <w:widowControl/>
        <w:bidi w:val="0"/>
        <w:spacing w:lineRule="auto" w:line="312" w:before="0" w:after="0"/>
        <w:ind w:left="0" w:right="0" w:hanging="0"/>
        <w:jc w:val="left"/>
        <w:rPr>
          <w:rFonts w:ascii="Inter;system-ui;sans-serif" w:hAnsi="Inter;system-ui;sans-serif"/>
          <w:b/>
          <w:i w:val="false"/>
          <w:caps w:val="false"/>
          <w:smallCaps w:val="false"/>
          <w:color w:val="24292E"/>
          <w:spacing w:val="0"/>
          <w:sz w:val="17"/>
        </w:rPr>
      </w:pPr>
      <w:r>
        <w:rPr>
          <w:rFonts w:ascii="Inter;system-ui;sans-serif" w:hAnsi="Inter;system-ui;sans-serif"/>
          <w:b/>
          <w:i w:val="false"/>
          <w:caps w:val="false"/>
          <w:smallCaps w:val="false"/>
          <w:color w:val="24292E"/>
          <w:spacing w:val="0"/>
          <w:sz w:val="17"/>
        </w:rPr>
        <w:t>Part 1: EarthX — Inconsistencies in Their Own Fact Sheet</w:t>
      </w:r>
    </w:p>
    <w:p>
      <w:pPr>
        <w:pStyle w:val="TextBody"/>
        <w:widowControl/>
        <w:bidi w:val="0"/>
        <w:spacing w:lineRule="auto" w:line="360"/>
        <w:ind w:left="0" w:right="0" w:hanging="0"/>
        <w:jc w:val="left"/>
        <w:rPr>
          <w:rFonts w:ascii="Inter;system-ui;sans-serif" w:hAnsi="Inter;system-ui;sans-serif"/>
          <w:b w:val="false"/>
          <w:i w:val="false"/>
          <w:caps w:val="false"/>
          <w:smallCaps w:val="false"/>
          <w:color w:val="24292E"/>
          <w:spacing w:val="0"/>
          <w:sz w:val="17"/>
        </w:rPr>
      </w:pPr>
      <w:r>
        <w:rPr>
          <w:rFonts w:ascii="Inter;system-ui;sans-serif" w:hAnsi="Inter;system-ui;sans-serif"/>
          <w:b w:val="false"/>
          <w:i w:val="false"/>
          <w:caps w:val="false"/>
          <w:smallCaps w:val="false"/>
          <w:color w:val="24292E"/>
          <w:spacing w:val="0"/>
          <w:sz w:val="17"/>
        </w:rPr>
        <w:t>Their headline position is that cold temperature concerns are overblown ("Some online statements read like 'lithium batteries cannot be charged below freezing' and this is an inaccurate statement"). But the document contradicts itself repeatedly:</w:t>
      </w:r>
    </w:p>
    <w:p>
      <w:pPr>
        <w:pStyle w:val="Heading3"/>
        <w:widowControl/>
        <w:bidi w:val="0"/>
        <w:spacing w:lineRule="auto" w:line="336" w:before="0" w:after="0"/>
        <w:ind w:left="0" w:right="0" w:hanging="0"/>
        <w:jc w:val="left"/>
        <w:rPr/>
      </w:pPr>
      <w:r>
        <w:rPr>
          <w:rStyle w:val="StrongEmphasis"/>
          <w:rFonts w:ascii="Inter;system-ui;sans-serif" w:hAnsi="Inter;system-ui;sans-serif"/>
          <w:b/>
          <w:i w:val="false"/>
          <w:caps w:val="false"/>
          <w:smallCaps w:val="false"/>
          <w:color w:val="24292E"/>
          <w:spacing w:val="0"/>
          <w:sz w:val="17"/>
        </w:rPr>
        <w:t>Inconsistency #1: They admit lithium plating occurs — then dismiss it</w:t>
      </w:r>
    </w:p>
    <w:p>
      <w:pPr>
        <w:pStyle w:val="TextBody"/>
        <w:widowControl/>
        <w:bidi w:val="0"/>
        <w:spacing w:lineRule="auto" w:line="360"/>
        <w:ind w:left="0" w:right="0" w:hanging="0"/>
        <w:jc w:val="left"/>
        <w:rPr>
          <w:rFonts w:ascii="Inter;system-ui;sans-serif" w:hAnsi="Inter;system-ui;sans-serif"/>
          <w:b w:val="false"/>
          <w:i w:val="false"/>
          <w:caps w:val="false"/>
          <w:smallCaps w:val="false"/>
          <w:color w:val="24292E"/>
          <w:spacing w:val="0"/>
          <w:sz w:val="17"/>
        </w:rPr>
      </w:pPr>
      <w:r>
        <w:rPr>
          <w:rFonts w:ascii="Inter;system-ui;sans-serif" w:hAnsi="Inter;system-ui;sans-serif"/>
          <w:b w:val="false"/>
          <w:i w:val="false"/>
          <w:caps w:val="false"/>
          <w:smallCaps w:val="false"/>
          <w:color w:val="24292E"/>
          <w:spacing w:val="0"/>
          <w:sz w:val="17"/>
        </w:rPr>
        <w:t>This is the biggest one. Quoting their own text:</w:t>
      </w:r>
    </w:p>
    <w:p>
      <w:pPr>
        <w:pStyle w:val="Quotations"/>
        <w:widowControl/>
        <w:pBdr>
          <w:left w:val="single" w:sz="14" w:space="1" w:color="6D4AFF"/>
        </w:pBdr>
        <w:shd w:fill="F8FAFC" w:val="clear"/>
        <w:bidi w:val="0"/>
        <w:spacing w:lineRule="auto" w:line="360" w:before="0" w:after="0"/>
        <w:ind w:left="567" w:right="567" w:hanging="0"/>
        <w:jc w:val="left"/>
        <w:rPr/>
      </w:pPr>
      <w:r>
        <w:rPr>
          <w:rStyle w:val="Emphasis"/>
          <w:rFonts w:ascii="Inter;system-ui;sans-serif" w:hAnsi="Inter;system-ui;sans-serif"/>
          <w:b w:val="false"/>
          <w:i/>
          <w:caps w:val="false"/>
          <w:smallCaps w:val="false"/>
          <w:color w:val="24292E"/>
          <w:spacing w:val="0"/>
          <w:sz w:val="17"/>
        </w:rPr>
        <w:t>"At low temperatures the lithium-ion intercalation (or diffusion) into the anodes during the charging process slows down, thus lithium-ion cathode material is deposited on the surface of the anode (a process called plating)."</w:t>
      </w:r>
    </w:p>
    <w:p>
      <w:pPr>
        <w:pStyle w:val="TextBody"/>
        <w:widowControl/>
        <w:bidi w:val="0"/>
        <w:spacing w:lineRule="auto" w:line="360"/>
        <w:ind w:left="0" w:right="0" w:hanging="0"/>
        <w:jc w:val="left"/>
        <w:rPr>
          <w:rFonts w:ascii="Inter;system-ui;sans-serif" w:hAnsi="Inter;system-ui;sans-serif"/>
          <w:b w:val="false"/>
          <w:i w:val="false"/>
          <w:caps w:val="false"/>
          <w:smallCaps w:val="false"/>
          <w:color w:val="24292E"/>
          <w:spacing w:val="0"/>
          <w:sz w:val="17"/>
        </w:rPr>
      </w:pPr>
      <w:r>
        <w:rPr>
          <w:rFonts w:ascii="Inter;system-ui;sans-serif" w:hAnsi="Inter;system-ui;sans-serif"/>
          <w:b w:val="false"/>
          <w:i w:val="false"/>
          <w:caps w:val="false"/>
          <w:smallCaps w:val="false"/>
          <w:color w:val="24292E"/>
          <w:spacing w:val="0"/>
          <w:sz w:val="17"/>
        </w:rPr>
        <w:t>They correctly describe lithium plating — the exact mechanism the entire battery industry identifies as the reason you don't charge LFP below 0°C — and then simply assert that charging continues anyway. They never explain how plating at cold temperatures is harmless. Plated lithium forms dendrites that cause permanent capacity loss and internal short circuits. You can't describe the disease and then declare the patient healthy in the same paragraph.</w:t>
      </w:r>
    </w:p>
    <w:p>
      <w:pPr>
        <w:pStyle w:val="Heading3"/>
        <w:widowControl/>
        <w:bidi w:val="0"/>
        <w:spacing w:lineRule="auto" w:line="336" w:before="0" w:after="0"/>
        <w:ind w:left="0" w:right="0" w:hanging="0"/>
        <w:jc w:val="left"/>
        <w:rPr/>
      </w:pPr>
      <w:r>
        <w:rPr>
          <w:rStyle w:val="StrongEmphasis"/>
          <w:rFonts w:ascii="Inter;system-ui;sans-serif" w:hAnsi="Inter;system-ui;sans-serif"/>
          <w:b/>
          <w:i w:val="false"/>
          <w:caps w:val="false"/>
          <w:smallCaps w:val="false"/>
          <w:color w:val="24292E"/>
          <w:spacing w:val="0"/>
          <w:sz w:val="17"/>
        </w:rPr>
        <w:t>Inconsistency #2: "The freezing point of water is irrelevant" — a straw man</w:t>
      </w:r>
    </w:p>
    <w:p>
      <w:pPr>
        <w:pStyle w:val="Quotations"/>
        <w:widowControl/>
        <w:pBdr>
          <w:left w:val="single" w:sz="14" w:space="1" w:color="6D4AFF"/>
        </w:pBdr>
        <w:shd w:fill="F8FAFC" w:val="clear"/>
        <w:bidi w:val="0"/>
        <w:spacing w:lineRule="auto" w:line="360" w:before="0" w:after="0"/>
        <w:ind w:left="567" w:right="567" w:hanging="0"/>
        <w:jc w:val="left"/>
        <w:rPr/>
      </w:pPr>
      <w:r>
        <w:rPr>
          <w:rStyle w:val="Emphasis"/>
          <w:rFonts w:ascii="Inter;system-ui;sans-serif" w:hAnsi="Inter;system-ui;sans-serif"/>
          <w:b w:val="false"/>
          <w:i/>
          <w:caps w:val="false"/>
          <w:smallCaps w:val="false"/>
          <w:color w:val="24292E"/>
          <w:spacing w:val="0"/>
          <w:sz w:val="17"/>
        </w:rPr>
        <w:t>"Lithium batteries contain no water, so temperature limitations based on the freezing temperature of water are misleading at best. The REAL freezing point... is less than -60°C."</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Nobody's concern is water freezing. The concern is </w:t>
      </w:r>
      <w:r>
        <w:rPr>
          <w:rStyle w:val="StrongEmphasis"/>
          <w:rFonts w:ascii="Inter;system-ui;sans-serif" w:hAnsi="Inter;system-ui;sans-serif"/>
          <w:b/>
          <w:i w:val="false"/>
          <w:caps w:val="false"/>
          <w:smallCaps w:val="false"/>
          <w:color w:val="24292E"/>
          <w:spacing w:val="0"/>
          <w:sz w:val="17"/>
        </w:rPr>
        <w:t>ion kinetics</w:t>
      </w:r>
      <w:r>
        <w:rPr>
          <w:rFonts w:ascii="Inter;system-ui;sans-serif" w:hAnsi="Inter;system-ui;sans-serif"/>
          <w:b w:val="false"/>
          <w:i w:val="false"/>
          <w:caps w:val="false"/>
          <w:smallCaps w:val="false"/>
          <w:color w:val="24292E"/>
          <w:spacing w:val="0"/>
          <w:sz w:val="17"/>
        </w:rPr>
        <w:t xml:space="preserve"> — which EarthX itself describes in the very next sentence ("internal resistance of all batteries increases as temperature decreases"). They use the electrolyte freezing point (-60°C) to imply everything above that is fine, while their own document admits performance degrades at temperatures far above -60°C. The relevant threshold isn't the electrolyte freezing point; it's the temperature where plating begins — 0°C, per the mechanism they described in Inconsistency #1.</w:t>
      </w:r>
    </w:p>
    <w:p>
      <w:pPr>
        <w:pStyle w:val="Heading3"/>
        <w:widowControl/>
        <w:bidi w:val="0"/>
        <w:spacing w:lineRule="auto" w:line="336" w:before="0" w:after="0"/>
        <w:ind w:left="0" w:right="0" w:hanging="0"/>
        <w:jc w:val="left"/>
        <w:rPr/>
      </w:pPr>
      <w:r>
        <w:rPr>
          <w:rStyle w:val="StrongEmphasis"/>
          <w:rFonts w:ascii="Inter;system-ui;sans-serif" w:hAnsi="Inter;system-ui;sans-serif"/>
          <w:b/>
          <w:i w:val="false"/>
          <w:caps w:val="false"/>
          <w:smallCaps w:val="false"/>
          <w:color w:val="24292E"/>
          <w:spacing w:val="0"/>
          <w:sz w:val="17"/>
        </w:rPr>
        <w:t>Inconsistency #3: The "crank warms the battery" admission</w:t>
      </w:r>
    </w:p>
    <w:p>
      <w:pPr>
        <w:pStyle w:val="Quotations"/>
        <w:widowControl/>
        <w:pBdr>
          <w:left w:val="single" w:sz="14" w:space="1" w:color="6D4AFF"/>
        </w:pBdr>
        <w:shd w:fill="F8FAFC" w:val="clear"/>
        <w:bidi w:val="0"/>
        <w:spacing w:lineRule="auto" w:line="360" w:before="0" w:after="0"/>
        <w:ind w:left="567" w:right="567" w:hanging="0"/>
        <w:jc w:val="left"/>
        <w:rPr/>
      </w:pPr>
      <w:r>
        <w:rPr>
          <w:rStyle w:val="Emphasis"/>
          <w:rFonts w:ascii="Inter;system-ui;sans-serif" w:hAnsi="Inter;system-ui;sans-serif"/>
          <w:b w:val="false"/>
          <w:i/>
          <w:caps w:val="false"/>
          <w:smallCaps w:val="false"/>
          <w:color w:val="24292E"/>
          <w:spacing w:val="0"/>
          <w:sz w:val="17"/>
        </w:rPr>
        <w:t>"...during the first crank process, this will warm up the battery &gt;10°C prior to the charging from the vehicle's charging system. Example: if it is 0°C, it will be 10°C... after the engine starts."</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This concedes the argument. If cold charging weren't a problem, there would be no need to explain how the battery self-warms into the safe charging zone. This is a workaround acknowledging the hazard, not a refutation of it. Worse: it only works on the </w:t>
      </w:r>
      <w:r>
        <w:rPr>
          <w:rStyle w:val="Emphasis"/>
          <w:rFonts w:ascii="Inter;system-ui;sans-serif" w:hAnsi="Inter;system-ui;sans-serif"/>
          <w:b w:val="false"/>
          <w:i w:val="false"/>
          <w:caps w:val="false"/>
          <w:smallCaps w:val="false"/>
          <w:color w:val="24292E"/>
          <w:spacing w:val="0"/>
          <w:sz w:val="17"/>
        </w:rPr>
        <w:t>first</w:t>
      </w:r>
      <w:r>
        <w:rPr>
          <w:rFonts w:ascii="Inter;system-ui;sans-serif" w:hAnsi="Inter;system-ui;sans-serif"/>
          <w:b w:val="false"/>
          <w:i w:val="false"/>
          <w:caps w:val="false"/>
          <w:smallCaps w:val="false"/>
          <w:color w:val="24292E"/>
          <w:spacing w:val="0"/>
          <w:sz w:val="17"/>
        </w:rPr>
        <w:t xml:space="preserve"> start. A failed start attempt at -20°C means cranking, resting, cranking again — each attempt with diminished capacity (their own admission) and a battery now being asked to accept charge while still cold.</w:t>
      </w:r>
    </w:p>
    <w:p>
      <w:pPr>
        <w:pStyle w:val="Heading3"/>
        <w:widowControl/>
        <w:bidi w:val="0"/>
        <w:spacing w:lineRule="auto" w:line="336" w:before="0" w:after="0"/>
        <w:ind w:left="0" w:right="0" w:hanging="0"/>
        <w:jc w:val="left"/>
        <w:rPr/>
      </w:pPr>
      <w:r>
        <w:rPr>
          <w:rStyle w:val="StrongEmphasis"/>
          <w:rFonts w:ascii="Inter;system-ui;sans-serif" w:hAnsi="Inter;system-ui;sans-serif"/>
          <w:b/>
          <w:i w:val="false"/>
          <w:caps w:val="false"/>
          <w:smallCaps w:val="false"/>
          <w:color w:val="24292E"/>
          <w:spacing w:val="0"/>
          <w:sz w:val="17"/>
        </w:rPr>
        <w:t>Inconsistency #4: They list the consequences themselves</w:t>
      </w:r>
    </w:p>
    <w:p>
      <w:pPr>
        <w:pStyle w:val="Quotations"/>
        <w:widowControl/>
        <w:pBdr>
          <w:left w:val="single" w:sz="14" w:space="1" w:color="6D4AFF"/>
        </w:pBdr>
        <w:shd w:fill="F8FAFC" w:val="clear"/>
        <w:bidi w:val="0"/>
        <w:spacing w:lineRule="auto" w:line="360" w:before="0" w:after="0"/>
        <w:ind w:left="567" w:right="567" w:hanging="0"/>
        <w:jc w:val="left"/>
        <w:rPr/>
      </w:pPr>
      <w:r>
        <w:rPr>
          <w:rStyle w:val="Emphasis"/>
          <w:rFonts w:ascii="Inter;system-ui;sans-serif" w:hAnsi="Inter;system-ui;sans-serif"/>
          <w:b w:val="false"/>
          <w:i/>
          <w:caps w:val="false"/>
          <w:smallCaps w:val="false"/>
          <w:color w:val="24292E"/>
          <w:spacing w:val="0"/>
          <w:sz w:val="17"/>
        </w:rPr>
        <w:t>"Performance reductions are in the form of reduced power (lower cranking amps), reduced capacity (less amp-hours stored), and slower charge times."</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For an </w:t>
      </w:r>
      <w:r>
        <w:rPr>
          <w:rStyle w:val="StrongEmphasis"/>
          <w:rFonts w:ascii="Inter;system-ui;sans-serif" w:hAnsi="Inter;system-ui;sans-serif"/>
          <w:b/>
          <w:i w:val="false"/>
          <w:caps w:val="false"/>
          <w:smallCaps w:val="false"/>
          <w:color w:val="24292E"/>
          <w:spacing w:val="0"/>
          <w:sz w:val="17"/>
        </w:rPr>
        <w:t>engine-starting battery</w:t>
      </w:r>
      <w:r>
        <w:rPr>
          <w:rFonts w:ascii="Inter;system-ui;sans-serif" w:hAnsi="Inter;system-ui;sans-serif"/>
          <w:b w:val="false"/>
          <w:i w:val="false"/>
          <w:caps w:val="false"/>
          <w:smallCaps w:val="false"/>
          <w:color w:val="24292E"/>
          <w:spacing w:val="0"/>
          <w:sz w:val="17"/>
        </w:rPr>
        <w:t>, "lower cranking amps" is not a footnote — it's the entire product. Their cold-weather defense doc admits the core function is impaired in cold, which is exactly when you need it most.</w:t>
      </w:r>
    </w:p>
    <w:p>
      <w:pPr>
        <w:pStyle w:val="Heading3"/>
        <w:widowControl/>
        <w:bidi w:val="0"/>
        <w:spacing w:lineRule="auto" w:line="336" w:before="0" w:after="0"/>
        <w:ind w:left="0" w:right="0" w:hanging="0"/>
        <w:jc w:val="left"/>
        <w:rPr/>
      </w:pPr>
      <w:r>
        <w:rPr>
          <w:rStyle w:val="StrongEmphasis"/>
          <w:rFonts w:ascii="Inter;system-ui;sans-serif" w:hAnsi="Inter;system-ui;sans-serif"/>
          <w:b/>
          <w:i w:val="false"/>
          <w:caps w:val="false"/>
          <w:smallCaps w:val="false"/>
          <w:color w:val="24292E"/>
          <w:spacing w:val="0"/>
          <w:sz w:val="17"/>
        </w:rPr>
        <w:t>Inconsistency #5: The service-life sleight of hand</w:t>
      </w:r>
    </w:p>
    <w:p>
      <w:pPr>
        <w:pStyle w:val="Quotations"/>
        <w:widowControl/>
        <w:pBdr>
          <w:left w:val="single" w:sz="14" w:space="1" w:color="6D4AFF"/>
        </w:pBdr>
        <w:shd w:fill="F8FAFC" w:val="clear"/>
        <w:bidi w:val="0"/>
        <w:spacing w:lineRule="auto" w:line="360" w:before="0" w:after="0"/>
        <w:ind w:left="567" w:right="567" w:hanging="0"/>
        <w:jc w:val="left"/>
        <w:rPr/>
      </w:pPr>
      <w:r>
        <w:rPr>
          <w:rStyle w:val="Emphasis"/>
          <w:rFonts w:ascii="Inter;system-ui;sans-serif" w:hAnsi="Inter;system-ui;sans-serif"/>
          <w:b w:val="false"/>
          <w:i/>
          <w:caps w:val="false"/>
          <w:smallCaps w:val="false"/>
          <w:color w:val="24292E"/>
          <w:spacing w:val="0"/>
          <w:sz w:val="17"/>
        </w:rPr>
        <w:t>"Reduction in service life is NOT imminent but rather measured by months (i.e. 60 month service life versus 72 month service life)."</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A 60→72 month reduction is </w:t>
      </w:r>
      <w:r>
        <w:rPr>
          <w:rStyle w:val="StrongEmphasis"/>
          <w:rFonts w:ascii="Inter;system-ui;sans-serif" w:hAnsi="Inter;system-ui;sans-serif"/>
          <w:b/>
          <w:i w:val="false"/>
          <w:caps w:val="false"/>
          <w:smallCaps w:val="false"/>
          <w:color w:val="24292E"/>
          <w:spacing w:val="0"/>
          <w:sz w:val="17"/>
        </w:rPr>
        <w:t>17% of service life lost</w:t>
      </w:r>
      <w:r>
        <w:rPr>
          <w:rFonts w:ascii="Inter;system-ui;sans-serif" w:hAnsi="Inter;system-ui;sans-serif"/>
          <w:b w:val="false"/>
          <w:i w:val="false"/>
          <w:caps w:val="false"/>
          <w:smallCaps w:val="false"/>
          <w:color w:val="24292E"/>
          <w:spacing w:val="0"/>
          <w:sz w:val="17"/>
        </w:rPr>
        <w:t xml:space="preserve"> to cold operation — presented as if it were trivial. No data, no SOC range, no temperature profile is given for that figure. Also note the tension with their marketing position elsewhere: if cold truly didn't affect the batteries, why would service life shorten at all?</w:t>
      </w:r>
    </w:p>
    <w:p>
      <w:pPr>
        <w:pStyle w:val="Heading3"/>
        <w:widowControl/>
        <w:bidi w:val="0"/>
        <w:spacing w:lineRule="auto" w:line="336" w:before="0" w:after="0"/>
        <w:ind w:left="0" w:right="0" w:hanging="0"/>
        <w:jc w:val="left"/>
        <w:rPr/>
      </w:pPr>
      <w:r>
        <w:rPr>
          <w:rStyle w:val="StrongEmphasis"/>
          <w:rFonts w:ascii="Inter;system-ui;sans-serif" w:hAnsi="Inter;system-ui;sans-serif"/>
          <w:b/>
          <w:i w:val="false"/>
          <w:caps w:val="false"/>
          <w:smallCaps w:val="false"/>
          <w:color w:val="24292E"/>
          <w:spacing w:val="0"/>
          <w:sz w:val="17"/>
        </w:rPr>
        <w:t>Inconsistency #6: The -30°C claim that contradicts their plating mechanism</w:t>
      </w:r>
    </w:p>
    <w:p>
      <w:pPr>
        <w:pStyle w:val="Quotations"/>
        <w:widowControl/>
        <w:pBdr>
          <w:left w:val="single" w:sz="14" w:space="1" w:color="6D4AFF"/>
        </w:pBdr>
        <w:shd w:fill="F8FAFC" w:val="clear"/>
        <w:bidi w:val="0"/>
        <w:spacing w:lineRule="auto" w:line="360" w:before="0" w:after="0"/>
        <w:ind w:left="567" w:right="567" w:hanging="0"/>
        <w:jc w:val="left"/>
        <w:rPr/>
      </w:pPr>
      <w:r>
        <w:rPr>
          <w:rStyle w:val="Emphasis"/>
          <w:rFonts w:ascii="Inter;system-ui;sans-serif" w:hAnsi="Inter;system-ui;sans-serif"/>
          <w:b w:val="false"/>
          <w:i/>
          <w:caps w:val="false"/>
          <w:smallCaps w:val="false"/>
          <w:color w:val="24292E"/>
          <w:spacing w:val="0"/>
          <w:sz w:val="17"/>
        </w:rPr>
        <w:t>"EarthX LiFePO4 batteries formulated for cold weather performance can achieve a near 1C charge rate at -30°C."</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Charging LFP at 1C at </w:t>
      </w:r>
      <w:r>
        <w:rPr>
          <w:rStyle w:val="StrongEmphasis"/>
          <w:rFonts w:ascii="Inter;system-ui;sans-serif" w:hAnsi="Inter;system-ui;sans-serif"/>
          <w:b/>
          <w:i w:val="false"/>
          <w:caps w:val="false"/>
          <w:smallCaps w:val="false"/>
          <w:color w:val="24292E"/>
          <w:spacing w:val="0"/>
          <w:sz w:val="17"/>
        </w:rPr>
        <w:t>-30°C</w:t>
      </w:r>
      <w:r>
        <w:rPr>
          <w:rFonts w:ascii="Inter;system-ui;sans-serif" w:hAnsi="Inter;system-ui;sans-serif"/>
          <w:b w:val="false"/>
          <w:i w:val="false"/>
          <w:caps w:val="false"/>
          <w:smallCaps w:val="false"/>
          <w:color w:val="24292E"/>
          <w:spacing w:val="0"/>
          <w:sz w:val="17"/>
        </w:rPr>
        <w:t xml:space="preserve"> — thirty degrees below the industry-consensus plating threshold — while their own document explains that intercalation slows at low temperature causing plating. Either the plating mechanism they described is wrong, or the -30°C charge claim invites it. They also quietly hedge this to batteries "formulated for cold weather performance" — a subset of their line.</w:t>
      </w:r>
    </w:p>
    <w:p>
      <w:pPr>
        <w:pStyle w:val="HorizontalLine"/>
        <w:widowControl/>
        <w:bidi w:val="0"/>
        <w:jc w:val="left"/>
        <w:rPr/>
      </w:pPr>
      <w:r>
        <w:rPr/>
      </w:r>
    </w:p>
    <w:p>
      <w:pPr>
        <w:pStyle w:val="Heading2"/>
        <w:widowControl/>
        <w:bidi w:val="0"/>
        <w:spacing w:lineRule="auto" w:line="312" w:before="0" w:after="0"/>
        <w:ind w:left="0" w:right="0" w:hanging="0"/>
        <w:jc w:val="left"/>
        <w:rPr>
          <w:rFonts w:ascii="Inter;system-ui;sans-serif" w:hAnsi="Inter;system-ui;sans-serif"/>
          <w:b/>
          <w:i w:val="false"/>
          <w:caps w:val="false"/>
          <w:smallCaps w:val="false"/>
          <w:color w:val="24292E"/>
          <w:spacing w:val="0"/>
          <w:sz w:val="17"/>
        </w:rPr>
      </w:pPr>
      <w:r>
        <w:rPr>
          <w:rFonts w:ascii="Inter;system-ui;sans-serif" w:hAnsi="Inter;system-ui;sans-serif"/>
          <w:b/>
          <w:i w:val="false"/>
          <w:caps w:val="false"/>
          <w:smallCaps w:val="false"/>
          <w:color w:val="24292E"/>
          <w:spacing w:val="0"/>
          <w:sz w:val="17"/>
        </w:rPr>
        <w:t>Part 2: Grepow — Their Own Numbers Defeat Their Claim</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Their headline: </w:t>
      </w:r>
      <w:r>
        <w:rPr>
          <w:rStyle w:val="Emphasis"/>
          <w:rFonts w:ascii="Inter;system-ui;sans-serif" w:hAnsi="Inter;system-ui;sans-serif"/>
          <w:b w:val="false"/>
          <w:i w:val="false"/>
          <w:caps w:val="false"/>
          <w:smallCaps w:val="false"/>
          <w:color w:val="24292E"/>
          <w:spacing w:val="0"/>
          <w:sz w:val="17"/>
        </w:rPr>
        <w:t>"excellent low-temperature performance at -45℃."</w:t>
      </w:r>
      <w:r>
        <w:rPr>
          <w:rFonts w:ascii="Inter;system-ui;sans-serif" w:hAnsi="Inter;system-ui;sans-serif"/>
          <w:b w:val="false"/>
          <w:i w:val="false"/>
          <w:caps w:val="false"/>
          <w:smallCaps w:val="false"/>
          <w:color w:val="24292E"/>
          <w:spacing w:val="0"/>
          <w:sz w:val="17"/>
        </w:rPr>
        <w:t xml:space="preserve"> Their own data immediately below it:</w:t>
      </w:r>
    </w:p>
    <w:tbl>
      <w:tblPr>
        <w:tblW w:w="6809" w:type="dxa"/>
        <w:jc w:val="left"/>
        <w:tblInd w:w="0" w:type="dxa"/>
        <w:shd w:fill="FFFFFF" w:val="clear"/>
        <w:tblLayout w:type="fixed"/>
        <w:tblCellMar>
          <w:top w:w="0" w:type="dxa"/>
          <w:left w:w="28" w:type="dxa"/>
          <w:bottom w:w="28" w:type="dxa"/>
          <w:right w:w="0" w:type="dxa"/>
        </w:tblCellMar>
      </w:tblPr>
      <w:tblGrid>
        <w:gridCol w:w="1447"/>
        <w:gridCol w:w="4206"/>
        <w:gridCol w:w="1156"/>
      </w:tblGrid>
      <w:tr>
        <w:trPr>
          <w:tblHeader w:val="true"/>
        </w:trPr>
        <w:tc>
          <w:tcPr>
            <w:tcW w:w="1447"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Temperature</w:t>
            </w:r>
          </w:p>
        </w:tc>
        <w:tc>
          <w:tcPr>
            <w:tcW w:w="4206"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Capacity Retained (Grepow's own data)</w:t>
            </w:r>
          </w:p>
        </w:tc>
        <w:tc>
          <w:tcPr>
            <w:tcW w:w="1156"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Lost</w:t>
            </w:r>
          </w:p>
        </w:tc>
      </w:tr>
      <w:tr>
        <w:trPr/>
        <w:tc>
          <w:tcPr>
            <w:tcW w:w="1447"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-20°C</w:t>
            </w:r>
          </w:p>
        </w:tc>
        <w:tc>
          <w:tcPr>
            <w:tcW w:w="4206"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85%</w:t>
            </w:r>
          </w:p>
        </w:tc>
        <w:tc>
          <w:tcPr>
            <w:tcW w:w="1156" w:type="dxa"/>
            <w:tcBorders>
              <w:bottom w:val="single" w:sz="2" w:space="0" w:color="EAE7E4"/>
            </w:tcBorders>
            <w:shd w:fill="FFFFFF" w:val="clear"/>
            <w:tcMar>
              <w:left w:w="0" w:type="dxa"/>
            </w:tcMar>
            <w:vAlign w:val="center"/>
          </w:tcPr>
          <w:p>
            <w:pPr>
              <w:pStyle w:val="TableContents"/>
              <w:bidi w:val="0"/>
              <w:ind w:left="0" w:right="0" w:hanging="0"/>
              <w:jc w:val="left"/>
              <w:rPr/>
            </w:pPr>
            <w:r>
              <w:rPr>
                <w:rStyle w:val="StrongEmphasis"/>
                <w:b/>
                <w:color w:val="0C0C14"/>
              </w:rPr>
              <w:t>15% gone</w:t>
            </w:r>
          </w:p>
        </w:tc>
      </w:tr>
      <w:tr>
        <w:trPr/>
        <w:tc>
          <w:tcPr>
            <w:tcW w:w="1447"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-30°C</w:t>
            </w:r>
          </w:p>
        </w:tc>
        <w:tc>
          <w:tcPr>
            <w:tcW w:w="4206"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70%</w:t>
            </w:r>
          </w:p>
        </w:tc>
        <w:tc>
          <w:tcPr>
            <w:tcW w:w="1156" w:type="dxa"/>
            <w:tcBorders>
              <w:bottom w:val="single" w:sz="2" w:space="0" w:color="EAE7E4"/>
            </w:tcBorders>
            <w:shd w:fill="FFFFFF" w:val="clear"/>
            <w:tcMar>
              <w:left w:w="0" w:type="dxa"/>
            </w:tcMar>
            <w:vAlign w:val="center"/>
          </w:tcPr>
          <w:p>
            <w:pPr>
              <w:pStyle w:val="TableContents"/>
              <w:bidi w:val="0"/>
              <w:ind w:left="0" w:right="0" w:hanging="0"/>
              <w:jc w:val="left"/>
              <w:rPr/>
            </w:pPr>
            <w:r>
              <w:rPr>
                <w:rStyle w:val="StrongEmphasis"/>
                <w:b/>
                <w:color w:val="0C0C14"/>
              </w:rPr>
              <w:t>30% gone</w:t>
            </w:r>
          </w:p>
        </w:tc>
      </w:tr>
      <w:tr>
        <w:trPr/>
        <w:tc>
          <w:tcPr>
            <w:tcW w:w="1447" w:type="dxa"/>
            <w:tcBorders>
              <w:left w:val="single" w:sz="2" w:space="0" w:color="EAE7E4"/>
            </w:tcBorders>
            <w:shd w:fill="FFFFFF" w:val="clear"/>
            <w:tcMar>
              <w:bottom w:w="0" w:type="dxa"/>
            </w:tcMar>
            <w:vAlign w:val="center"/>
          </w:tcPr>
          <w:p>
            <w:pPr>
              <w:pStyle w:val="TableContents"/>
              <w:bidi w:val="0"/>
              <w:ind w:left="0" w:right="0" w:hanging="0"/>
              <w:jc w:val="left"/>
              <w:rPr>
                <w:color w:val="0C0C14"/>
              </w:rPr>
            </w:pPr>
            <w:r>
              <w:rPr>
                <w:color w:val="0C0C14"/>
              </w:rPr>
              <w:t>-40°C</w:t>
            </w:r>
          </w:p>
        </w:tc>
        <w:tc>
          <w:tcPr>
            <w:tcW w:w="4206" w:type="dxa"/>
            <w:tcBorders>
              <w:left w:val="single" w:sz="2" w:space="0" w:color="EAE7E4"/>
            </w:tcBorders>
            <w:shd w:fill="FFFFFF" w:val="clear"/>
            <w:tcMar>
              <w:bottom w:w="0" w:type="dxa"/>
            </w:tcMar>
            <w:vAlign w:val="center"/>
          </w:tcPr>
          <w:p>
            <w:pPr>
              <w:pStyle w:val="TableContents"/>
              <w:bidi w:val="0"/>
              <w:ind w:left="0" w:right="0" w:hanging="0"/>
              <w:jc w:val="left"/>
              <w:rPr>
                <w:color w:val="0C0C14"/>
              </w:rPr>
            </w:pPr>
            <w:r>
              <w:rPr>
                <w:color w:val="0C0C14"/>
              </w:rPr>
              <w:t>55%</w:t>
            </w:r>
          </w:p>
        </w:tc>
        <w:tc>
          <w:tcPr>
            <w:tcW w:w="1156" w:type="dxa"/>
            <w:tcBorders/>
            <w:shd w:fill="FFFFFF" w:val="clear"/>
            <w:tcMar>
              <w:left w:w="0" w:type="dxa"/>
              <w:bottom w:w="0" w:type="dxa"/>
            </w:tcMar>
            <w:vAlign w:val="center"/>
          </w:tcPr>
          <w:p>
            <w:pPr>
              <w:pStyle w:val="TableContents"/>
              <w:widowControl w:val="false"/>
              <w:suppressLineNumbers/>
              <w:bidi w:val="0"/>
              <w:jc w:val="left"/>
              <w:rPr/>
            </w:pPr>
            <w:r>
              <w:rPr>
                <w:rStyle w:val="StrongEmphasis"/>
                <w:b/>
                <w:color w:val="0C0C14"/>
              </w:rPr>
              <w:t>45% gone</w:t>
            </w:r>
          </w:p>
        </w:tc>
      </w:tr>
    </w:tbl>
    <w:p>
      <w:pPr>
        <w:pStyle w:val="Heading3"/>
        <w:widowControl/>
        <w:bidi w:val="0"/>
        <w:spacing w:lineRule="auto" w:line="336" w:before="0" w:after="0"/>
        <w:ind w:left="0" w:right="0" w:hanging="0"/>
        <w:jc w:val="left"/>
        <w:rPr/>
      </w:pPr>
      <w:r>
        <w:rPr>
          <w:rStyle w:val="StrongEmphasis"/>
          <w:rFonts w:ascii="Inter;system-ui;sans-serif" w:hAnsi="Inter;system-ui;sans-serif"/>
          <w:b/>
          <w:i w:val="false"/>
          <w:caps w:val="false"/>
          <w:smallCaps w:val="false"/>
          <w:color w:val="24292E"/>
          <w:spacing w:val="0"/>
          <w:sz w:val="17"/>
        </w:rPr>
        <w:t>Inconsistency #1: Losing nearly half your capacity is "excellent"?</w:t>
      </w:r>
    </w:p>
    <w:p>
      <w:pPr>
        <w:pStyle w:val="TextBody"/>
        <w:widowControl/>
        <w:bidi w:val="0"/>
        <w:spacing w:lineRule="auto" w:line="360"/>
        <w:ind w:left="0" w:right="0" w:hanging="0"/>
        <w:jc w:val="left"/>
        <w:rPr>
          <w:rFonts w:ascii="Inter;system-ui;sans-serif" w:hAnsi="Inter;system-ui;sans-serif"/>
          <w:b w:val="false"/>
          <w:i w:val="false"/>
          <w:caps w:val="false"/>
          <w:smallCaps w:val="false"/>
          <w:color w:val="24292E"/>
          <w:spacing w:val="0"/>
          <w:sz w:val="17"/>
        </w:rPr>
      </w:pPr>
      <w:r>
        <w:rPr>
          <w:rFonts w:ascii="Inter;system-ui;sans-serif" w:hAnsi="Inter;system-ui;sans-serif"/>
          <w:b w:val="false"/>
          <w:i w:val="false"/>
          <w:caps w:val="false"/>
          <w:smallCaps w:val="false"/>
          <w:color w:val="24292E"/>
          <w:spacing w:val="0"/>
          <w:sz w:val="17"/>
        </w:rPr>
        <w:t>At -40°C, the battery holds barely half its rated capacity. Calling that "excellent low-temperature performance" only works if the baseline expectation is failure. The adjective and the data are in open conflict.</w:t>
      </w:r>
    </w:p>
    <w:p>
      <w:pPr>
        <w:pStyle w:val="Heading3"/>
        <w:widowControl/>
        <w:bidi w:val="0"/>
        <w:spacing w:lineRule="auto" w:line="336" w:before="0" w:after="0"/>
        <w:ind w:left="0" w:right="0" w:hanging="0"/>
        <w:jc w:val="left"/>
        <w:rPr/>
      </w:pPr>
      <w:r>
        <w:rPr>
          <w:rStyle w:val="StrongEmphasis"/>
          <w:rFonts w:ascii="Inter;system-ui;sans-serif" w:hAnsi="Inter;system-ui;sans-serif"/>
          <w:b/>
          <w:i w:val="false"/>
          <w:caps w:val="false"/>
          <w:smallCaps w:val="false"/>
          <w:color w:val="24292E"/>
          <w:spacing w:val="0"/>
          <w:sz w:val="17"/>
        </w:rPr>
        <w:t>Inconsistency #2: The 0.2C dodge — and why it's fatal for aviation</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Look carefully at the test condition: </w:t>
      </w:r>
      <w:r>
        <w:rPr>
          <w:rStyle w:val="Emphasis"/>
          <w:rFonts w:ascii="Inter;system-ui;sans-serif" w:hAnsi="Inter;system-ui;sans-serif"/>
          <w:b w:val="false"/>
          <w:i w:val="false"/>
          <w:caps w:val="false"/>
          <w:smallCaps w:val="false"/>
          <w:color w:val="24292E"/>
          <w:spacing w:val="0"/>
          <w:sz w:val="17"/>
        </w:rPr>
        <w:t xml:space="preserve">"The discharging current of </w:t>
      </w:r>
      <w:r>
        <w:rPr>
          <w:rStyle w:val="StrongEmphasis"/>
          <w:rFonts w:ascii="Inter;system-ui;sans-serif" w:hAnsi="Inter;system-ui;sans-serif"/>
          <w:b/>
          <w:i w:val="false"/>
          <w:caps w:val="false"/>
          <w:smallCaps w:val="false"/>
          <w:color w:val="24292E"/>
          <w:spacing w:val="0"/>
          <w:sz w:val="17"/>
        </w:rPr>
        <w:t>0.2C</w:t>
      </w:r>
      <w:r>
        <w:rPr>
          <w:rStyle w:val="Emphasis"/>
          <w:rFonts w:ascii="Inter;system-ui;sans-serif" w:hAnsi="Inter;system-ui;sans-serif"/>
          <w:b w:val="false"/>
          <w:i w:val="false"/>
          <w:caps w:val="false"/>
          <w:smallCaps w:val="false"/>
          <w:color w:val="24292E"/>
          <w:spacing w:val="0"/>
          <w:sz w:val="17"/>
        </w:rPr>
        <w:t xml:space="preserve"> at -20°C is over 85%..."</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That's a trickle discharge — for a 100Ah cell, 20 amps over five hours. </w:t>
      </w:r>
      <w:r>
        <w:rPr>
          <w:rStyle w:val="StrongEmphasis"/>
          <w:rFonts w:ascii="Inter;system-ui;sans-serif" w:hAnsi="Inter;system-ui;sans-serif"/>
          <w:b/>
          <w:i w:val="false"/>
          <w:caps w:val="false"/>
          <w:smallCaps w:val="false"/>
          <w:color w:val="24292E"/>
          <w:spacing w:val="0"/>
          <w:sz w:val="17"/>
        </w:rPr>
        <w:t>An aircraft starter draws the opposite profile: massive amps (100s of A) for seconds.</w:t>
      </w:r>
      <w:r>
        <w:rPr>
          <w:rFonts w:ascii="Inter;system-ui;sans-serif" w:hAnsi="Inter;system-ui;sans-serif"/>
          <w:b w:val="false"/>
          <w:i w:val="false"/>
          <w:caps w:val="false"/>
          <w:smallCaps w:val="false"/>
          <w:color w:val="24292E"/>
          <w:spacing w:val="0"/>
          <w:sz w:val="17"/>
        </w:rPr>
        <w:t xml:space="preserve"> Capacity retention at 0.2C says absolutely nothing about pulse-discharge capability at cold temperatures, which is governed by internal resistance — the thing that skyrockets when LFP gets cold. Their spec sheet conspicuously avoids quoting cold-temperature internal resistance or pulse current, which is the number aviation buyers actually need.</w:t>
      </w:r>
    </w:p>
    <w:p>
      <w:pPr>
        <w:pStyle w:val="Heading3"/>
        <w:widowControl/>
        <w:bidi w:val="0"/>
        <w:spacing w:lineRule="auto" w:line="336" w:before="0" w:after="0"/>
        <w:ind w:left="0" w:right="0" w:hanging="0"/>
        <w:jc w:val="left"/>
        <w:rPr/>
      </w:pPr>
      <w:r>
        <w:rPr>
          <w:rStyle w:val="StrongEmphasis"/>
          <w:rFonts w:ascii="Inter;system-ui;sans-serif" w:hAnsi="Inter;system-ui;sans-serif"/>
          <w:b/>
          <w:i w:val="false"/>
          <w:caps w:val="false"/>
          <w:smallCaps w:val="false"/>
          <w:color w:val="24292E"/>
          <w:spacing w:val="0"/>
          <w:sz w:val="17"/>
        </w:rPr>
        <w:t>Inconsistency #3: "-45°C" is discharge-only</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The claim is "-45℃ </w:t>
      </w:r>
      <w:r>
        <w:rPr>
          <w:rStyle w:val="StrongEmphasis"/>
          <w:rFonts w:ascii="Inter;system-ui;sans-serif" w:hAnsi="Inter;system-ui;sans-serif"/>
          <w:b/>
          <w:i w:val="false"/>
          <w:caps w:val="false"/>
          <w:smallCaps w:val="false"/>
          <w:color w:val="24292E"/>
          <w:spacing w:val="0"/>
          <w:sz w:val="17"/>
        </w:rPr>
        <w:t>Discharge</w:t>
      </w:r>
      <w:r>
        <w:rPr>
          <w:rFonts w:ascii="Inter;system-ui;sans-serif" w:hAnsi="Inter;system-ui;sans-serif"/>
          <w:b w:val="false"/>
          <w:i w:val="false"/>
          <w:caps w:val="false"/>
          <w:smallCaps w:val="false"/>
          <w:color w:val="24292E"/>
          <w:spacing w:val="0"/>
          <w:sz w:val="17"/>
        </w:rPr>
        <w:t xml:space="preserve">" — no charging claim whatsoever. Their own product page silently confirms what EarthX spends a whole fact sheet denying: LFP charging at cold temperature is the real problem. If you land at a cold strip, shut down overnight, and need a reliable restart, storage and </w:t>
      </w:r>
      <w:r>
        <w:rPr>
          <w:rStyle w:val="Emphasis"/>
          <w:rFonts w:ascii="Inter;system-ui;sans-serif" w:hAnsi="Inter;system-ui;sans-serif"/>
          <w:b w:val="false"/>
          <w:i w:val="false"/>
          <w:caps w:val="false"/>
          <w:smallCaps w:val="false"/>
          <w:color w:val="24292E"/>
          <w:spacing w:val="0"/>
          <w:sz w:val="17"/>
        </w:rPr>
        <w:t>discharge</w:t>
      </w:r>
      <w:r>
        <w:rPr>
          <w:rFonts w:ascii="Inter;system-ui;sans-serif" w:hAnsi="Inter;system-ui;sans-serif"/>
          <w:b w:val="false"/>
          <w:i w:val="false"/>
          <w:caps w:val="false"/>
          <w:smallCaps w:val="false"/>
          <w:color w:val="24292E"/>
          <w:spacing w:val="0"/>
          <w:sz w:val="17"/>
        </w:rPr>
        <w:t xml:space="preserve"> may get you one start — but the recharge to get you home is the weak link neither vendor addresses honestly.</w:t>
      </w:r>
    </w:p>
    <w:p>
      <w:pPr>
        <w:pStyle w:val="Heading3"/>
        <w:widowControl/>
        <w:bidi w:val="0"/>
        <w:spacing w:lineRule="auto" w:line="336" w:before="0" w:after="0"/>
        <w:ind w:left="0" w:right="0" w:hanging="0"/>
        <w:jc w:val="left"/>
        <w:rPr/>
      </w:pPr>
      <w:r>
        <w:rPr>
          <w:rStyle w:val="StrongEmphasis"/>
          <w:rFonts w:ascii="Inter;system-ui;sans-serif" w:hAnsi="Inter;system-ui;sans-serif"/>
          <w:b/>
          <w:i w:val="false"/>
          <w:caps w:val="false"/>
          <w:smallCaps w:val="false"/>
          <w:color w:val="24292E"/>
          <w:spacing w:val="0"/>
          <w:sz w:val="17"/>
        </w:rPr>
        <w:t>Inconsistency #4: The existence of "special" low-temp chemistry is the confession</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Grepow sells a </w:t>
      </w:r>
      <w:r>
        <w:rPr>
          <w:rStyle w:val="Emphasis"/>
          <w:rFonts w:ascii="Inter;system-ui;sans-serif" w:hAnsi="Inter;system-ui;sans-serif"/>
          <w:b w:val="false"/>
          <w:i w:val="false"/>
          <w:caps w:val="false"/>
          <w:smallCaps w:val="false"/>
          <w:color w:val="24292E"/>
          <w:spacing w:val="0"/>
          <w:sz w:val="17"/>
        </w:rPr>
        <w:t>specialty</w:t>
      </w:r>
      <w:r>
        <w:rPr>
          <w:rFonts w:ascii="Inter;system-ui;sans-serif" w:hAnsi="Inter;system-ui;sans-serif"/>
          <w:b w:val="false"/>
          <w:i w:val="false"/>
          <w:caps w:val="false"/>
          <w:smallCaps w:val="false"/>
          <w:color w:val="24292E"/>
          <w:spacing w:val="0"/>
          <w:sz w:val="17"/>
        </w:rPr>
        <w:t xml:space="preserve"> "Low-Temperature LiFePO4" line with military/aerospace/polar marketing. Why would a special cold-rated variant need to exist if standard LFP handled cold well? The product segmentation itself concedes that garden-variety LFP — including aviation starter batteries — underperforms in cold.</w:t>
      </w:r>
    </w:p>
    <w:p>
      <w:pPr>
        <w:pStyle w:val="HorizontalLine"/>
        <w:widowControl/>
        <w:bidi w:val="0"/>
        <w:jc w:val="left"/>
        <w:rPr/>
      </w:pPr>
      <w:r>
        <w:rPr/>
      </w:r>
    </w:p>
    <w:p>
      <w:pPr>
        <w:pStyle w:val="Heading2"/>
        <w:widowControl/>
        <w:bidi w:val="0"/>
        <w:spacing w:lineRule="auto" w:line="312" w:before="0" w:after="0"/>
        <w:ind w:left="0" w:right="0" w:hanging="0"/>
        <w:jc w:val="left"/>
        <w:rPr>
          <w:rFonts w:ascii="Inter;system-ui;sans-serif" w:hAnsi="Inter;system-ui;sans-serif"/>
          <w:b/>
          <w:i w:val="false"/>
          <w:caps w:val="false"/>
          <w:smallCaps w:val="false"/>
          <w:color w:val="24292E"/>
          <w:spacing w:val="0"/>
          <w:sz w:val="17"/>
        </w:rPr>
      </w:pPr>
      <w:r>
        <w:rPr>
          <w:rFonts w:ascii="Inter;system-ui;sans-serif" w:hAnsi="Inter;system-ui;sans-serif"/>
          <w:b/>
          <w:i w:val="false"/>
          <w:caps w:val="false"/>
          <w:smallCaps w:val="false"/>
          <w:color w:val="24292E"/>
          <w:spacing w:val="0"/>
          <w:sz w:val="17"/>
        </w:rPr>
        <w:t>Part 3: Your Rebuttal</w:t>
      </w:r>
    </w:p>
    <w:p>
      <w:pPr>
        <w:pStyle w:val="TextBody"/>
        <w:widowControl/>
        <w:bidi w:val="0"/>
        <w:spacing w:lineRule="auto" w:line="360"/>
        <w:ind w:left="0" w:right="0" w:hanging="0"/>
        <w:jc w:val="left"/>
        <w:rPr>
          <w:rFonts w:ascii="Inter;system-ui;sans-serif" w:hAnsi="Inter;system-ui;sans-serif"/>
          <w:b w:val="false"/>
          <w:i w:val="false"/>
          <w:caps w:val="false"/>
          <w:smallCaps w:val="false"/>
          <w:color w:val="24292E"/>
          <w:spacing w:val="0"/>
          <w:sz w:val="17"/>
        </w:rPr>
      </w:pPr>
      <w:r>
        <w:rPr>
          <w:rFonts w:ascii="Inter;system-ui;sans-serif" w:hAnsi="Inter;system-ui;sans-serif"/>
          <w:b w:val="false"/>
          <w:i w:val="false"/>
          <w:caps w:val="false"/>
          <w:smallCaps w:val="false"/>
          <w:color w:val="24292E"/>
          <w:spacing w:val="0"/>
          <w:sz w:val="17"/>
        </w:rPr>
        <w:t>Here's a version you can use verbatim on forums, in literature, or in person:</w:t>
      </w:r>
    </w:p>
    <w:p>
      <w:pPr>
        <w:pStyle w:val="Quotations"/>
        <w:widowControl/>
        <w:pBdr>
          <w:left w:val="single" w:sz="14" w:space="1" w:color="6D4AFF"/>
        </w:pBdr>
        <w:shd w:fill="F8FAFC" w:val="clear"/>
        <w:bidi w:val="0"/>
        <w:spacing w:lineRule="auto" w:line="360" w:before="0" w:after="0"/>
        <w:ind w:left="567" w:right="567" w:hanging="0"/>
        <w:jc w:val="left"/>
        <w:rPr/>
      </w:pPr>
      <w:r>
        <w:rPr>
          <w:rStyle w:val="StrongEmphasis"/>
          <w:rFonts w:ascii="Inter;system-ui;sans-serif" w:hAnsi="Inter;system-ui;sans-serif"/>
          <w:b/>
          <w:i/>
          <w:caps w:val="false"/>
          <w:smallCaps w:val="false"/>
          <w:color w:val="24292E"/>
          <w:spacing w:val="0"/>
          <w:sz w:val="17"/>
        </w:rPr>
        <w:t>"LFP vendors defend cold-weather performance in a way their own documentation disproves."</w:t>
      </w:r>
    </w:p>
    <w:p>
      <w:pPr>
        <w:pStyle w:val="Quotations"/>
        <w:widowControl/>
        <w:pBdr>
          <w:left w:val="single" w:sz="14" w:space="1" w:color="6D4AFF"/>
        </w:pBdr>
        <w:shd w:fill="F8FAFC" w:val="clear"/>
        <w:bidi w:val="0"/>
        <w:spacing w:lineRule="auto" w:line="360" w:before="0" w:after="0"/>
        <w:ind w:left="567" w:right="567" w:hanging="0"/>
        <w:jc w:val="left"/>
        <w:rPr/>
      </w:pPr>
      <w:r>
        <w:rPr>
          <w:rFonts w:ascii="Inter;system-ui;sans-serif" w:hAnsi="Inter;system-ui;sans-serif"/>
          <w:b w:val="false"/>
          <w:i/>
          <w:caps w:val="false"/>
          <w:smallCaps w:val="false"/>
          <w:color w:val="24292E"/>
          <w:spacing w:val="0"/>
          <w:sz w:val="17"/>
        </w:rPr>
        <w:t xml:space="preserve">EarthX's cold-temperature fact sheet correctly describes the problem — at low temperatures, lithium-ion intercalation slows and lithium </w:t>
      </w:r>
      <w:r>
        <w:rPr>
          <w:rStyle w:val="Emphasis"/>
          <w:rFonts w:ascii="Inter;system-ui;sans-serif" w:hAnsi="Inter;system-ui;sans-serif"/>
          <w:b w:val="false"/>
          <w:i/>
          <w:caps w:val="false"/>
          <w:smallCaps w:val="false"/>
          <w:color w:val="24292E"/>
          <w:spacing w:val="0"/>
          <w:sz w:val="17"/>
        </w:rPr>
        <w:t>plates onto the anode</w:t>
      </w:r>
      <w:r>
        <w:rPr>
          <w:rFonts w:ascii="Inter;system-ui;sans-serif" w:hAnsi="Inter;system-ui;sans-serif"/>
          <w:b w:val="false"/>
          <w:i/>
          <w:caps w:val="false"/>
          <w:smallCaps w:val="false"/>
          <w:color w:val="24292E"/>
          <w:spacing w:val="0"/>
          <w:sz w:val="17"/>
        </w:rPr>
        <w:t xml:space="preserve">. Plating is precisely the mechanism the battery industry cites as the reason LFP should not be charged below 0°C: it permanently consumes lithium inventory and can form dendrites that cause internal shorts. Having described that mechanism, the same document assures you the battery "can and will charge below 32°F." It also leans on the fact that the electrolyte doesn't freeze until -60°C — a distraction, since no one's concern is electrolyte freezing; the concern is the plating threshold EarthX itself explained. And notably, the document argues that cranking warms the battery by 10°C before the charging system kicks in — an elegant admission that the battery </w:t>
      </w:r>
      <w:r>
        <w:rPr>
          <w:rStyle w:val="Emphasis"/>
          <w:rFonts w:ascii="Inter;system-ui;sans-serif" w:hAnsi="Inter;system-ui;sans-serif"/>
          <w:b w:val="false"/>
          <w:i/>
          <w:caps w:val="false"/>
          <w:smallCaps w:val="false"/>
          <w:color w:val="24292E"/>
          <w:spacing w:val="0"/>
          <w:sz w:val="17"/>
        </w:rPr>
        <w:t>needs</w:t>
      </w:r>
      <w:r>
        <w:rPr>
          <w:rFonts w:ascii="Inter;system-ui;sans-serif" w:hAnsi="Inter;system-ui;sans-serif"/>
          <w:b w:val="false"/>
          <w:i/>
          <w:caps w:val="false"/>
          <w:smallCaps w:val="false"/>
          <w:color w:val="24292E"/>
          <w:spacing w:val="0"/>
          <w:sz w:val="17"/>
        </w:rPr>
        <w:t xml:space="preserve"> to be warmer before it safely accepts charge. That workaround covers a first successful start, not a cold-soaked restart.</w:t>
      </w:r>
    </w:p>
    <w:p>
      <w:pPr>
        <w:pStyle w:val="Quotations"/>
        <w:widowControl/>
        <w:pBdr>
          <w:left w:val="single" w:sz="14" w:space="1" w:color="6D4AFF"/>
        </w:pBdr>
        <w:shd w:fill="F8FAFC" w:val="clear"/>
        <w:bidi w:val="0"/>
        <w:spacing w:lineRule="auto" w:line="360" w:before="0" w:after="0"/>
        <w:ind w:left="567" w:right="567" w:hanging="0"/>
        <w:jc w:val="left"/>
        <w:rPr>
          <w:rFonts w:ascii="Inter;system-ui;sans-serif" w:hAnsi="Inter;system-ui;sans-serif"/>
          <w:b w:val="false"/>
          <w:i/>
          <w:caps w:val="false"/>
          <w:smallCaps w:val="false"/>
          <w:color w:val="24292E"/>
          <w:spacing w:val="0"/>
          <w:sz w:val="17"/>
        </w:rPr>
      </w:pPr>
      <w:r>
        <w:rPr>
          <w:rFonts w:ascii="Inter;system-ui;sans-serif" w:hAnsi="Inter;system-ui;sans-serif"/>
          <w:b w:val="false"/>
          <w:i/>
          <w:caps w:val="false"/>
          <w:smallCaps w:val="false"/>
          <w:color w:val="24292E"/>
          <w:spacing w:val="0"/>
          <w:sz w:val="17"/>
        </w:rPr>
        <w:t>EarthX also states plainly that cold brings "reduced power (lower cranking amps), reduced capacity... and slower charge times." For an engine-starting battery, lower cranking amps in cold weather is the whole ballgame — that's the one moment you cannot afford degraded performance.</w:t>
      </w:r>
    </w:p>
    <w:p>
      <w:pPr>
        <w:pStyle w:val="Quotations"/>
        <w:widowControl/>
        <w:pBdr>
          <w:left w:val="single" w:sz="14" w:space="1" w:color="6D4AFF"/>
        </w:pBdr>
        <w:shd w:fill="F8FAFC" w:val="clear"/>
        <w:bidi w:val="0"/>
        <w:spacing w:lineRule="auto" w:line="360" w:before="0" w:after="0"/>
        <w:ind w:left="567" w:right="567" w:hanging="0"/>
        <w:jc w:val="left"/>
        <w:rPr/>
      </w:pPr>
      <w:r>
        <w:rPr>
          <w:rFonts w:ascii="Inter;system-ui;sans-serif" w:hAnsi="Inter;system-ui;sans-serif"/>
          <w:b w:val="false"/>
          <w:i/>
          <w:caps w:val="false"/>
          <w:smallCaps w:val="false"/>
          <w:color w:val="24292E"/>
          <w:spacing w:val="0"/>
          <w:sz w:val="17"/>
        </w:rPr>
        <w:t xml:space="preserve">The larger LFP industry agrees. Grepow, one of the world's largest specialty cell makers, markets a dedicated "Low-Temperature LiFePO4" line whose own datasheet shows 15% capacity loss at -20°C, 30% at -30°C, and 45% at -40°C — measured at a gentle 0.2C discharge, not the hundreds of amps a starter demands. A special cold-rated SKU only exists because standard LFP underperforms in cold. And note that every cold-temperature claim in the industry, including Grepow's "-45°C," is a </w:t>
      </w:r>
      <w:r>
        <w:rPr>
          <w:rStyle w:val="Emphasis"/>
          <w:rFonts w:ascii="Inter;system-ui;sans-serif" w:hAnsi="Inter;system-ui;sans-serif"/>
          <w:b w:val="false"/>
          <w:i/>
          <w:caps w:val="false"/>
          <w:smallCaps w:val="false"/>
          <w:color w:val="24292E"/>
          <w:spacing w:val="0"/>
          <w:sz w:val="17"/>
        </w:rPr>
        <w:t>discharge</w:t>
      </w:r>
      <w:r>
        <w:rPr>
          <w:rFonts w:ascii="Inter;system-ui;sans-serif" w:hAnsi="Inter;system-ui;sans-serif"/>
          <w:b w:val="false"/>
          <w:i/>
          <w:caps w:val="false"/>
          <w:smallCaps w:val="false"/>
          <w:color w:val="24292E"/>
          <w:spacing w:val="0"/>
          <w:sz w:val="17"/>
        </w:rPr>
        <w:t xml:space="preserve"> claim. Nobody will commit to charging LFP cold — because that's where plating lives.</w:t>
      </w:r>
    </w:p>
    <w:p>
      <w:pPr>
        <w:pStyle w:val="Quotations"/>
        <w:widowControl/>
        <w:pBdr>
          <w:left w:val="single" w:sz="14" w:space="1" w:color="6D4AFF"/>
        </w:pBdr>
        <w:shd w:fill="F8FAFC" w:val="clear"/>
        <w:bidi w:val="0"/>
        <w:spacing w:lineRule="auto" w:line="360" w:before="0" w:after="0"/>
        <w:ind w:left="567" w:right="567" w:hanging="0"/>
        <w:jc w:val="left"/>
        <w:rPr/>
      </w:pPr>
      <w:r>
        <w:rPr>
          <w:rStyle w:val="StrongEmphasis"/>
          <w:rFonts w:ascii="Inter;system-ui;sans-serif" w:hAnsi="Inter;system-ui;sans-serif"/>
          <w:b/>
          <w:i/>
          <w:caps w:val="false"/>
          <w:smallCaps w:val="false"/>
          <w:color w:val="24292E"/>
          <w:spacing w:val="0"/>
          <w:sz w:val="17"/>
        </w:rPr>
        <w:t>Sodium-ion doesn't have this failure mode.</w:t>
      </w:r>
      <w:r>
        <w:rPr>
          <w:rFonts w:ascii="Inter;system-ui;sans-serif" w:hAnsi="Inter;system-ui;sans-serif"/>
          <w:b w:val="false"/>
          <w:i/>
          <w:caps w:val="false"/>
          <w:smallCaps w:val="false"/>
          <w:color w:val="24292E"/>
          <w:spacing w:val="0"/>
          <w:sz w:val="17"/>
        </w:rPr>
        <w:t xml:space="preserve"> Sodium-ion kinetics remain functional far below 0°C because sodium diffuses readily into hard carbon at temperatures where lithium intercalation into graphite stalls — and plating of sodium is far more reversible and benign than lithium dendrite formation. Industry data shows sodium cells retaining roughly 90% capacity at -20°C and about 85% at -30°C, and critically, they can </w:t>
      </w:r>
      <w:r>
        <w:rPr>
          <w:rStyle w:val="Emphasis"/>
          <w:rFonts w:ascii="Inter;system-ui;sans-serif" w:hAnsi="Inter;system-ui;sans-serif"/>
          <w:b w:val="false"/>
          <w:i/>
          <w:caps w:val="false"/>
          <w:smallCaps w:val="false"/>
          <w:color w:val="24292E"/>
          <w:spacing w:val="0"/>
          <w:sz w:val="17"/>
        </w:rPr>
        <w:t>accept charge</w:t>
      </w:r>
      <w:r>
        <w:rPr>
          <w:rFonts w:ascii="Inter;system-ui;sans-serif" w:hAnsi="Inter;system-ui;sans-serif"/>
          <w:b w:val="false"/>
          <w:i/>
          <w:caps w:val="false"/>
          <w:smallCaps w:val="false"/>
          <w:color w:val="24292E"/>
          <w:spacing w:val="0"/>
          <w:sz w:val="17"/>
        </w:rPr>
        <w:t xml:space="preserve"> at those temperatures — without pre-heating, without self-warming workarounds, without a special "cold formulation." Where LFP vendors publish workarounds for their chemistry's cold limit, our chemistry simply doesn't share that limit.</w:t>
      </w:r>
    </w:p>
    <w:p>
      <w:pPr>
        <w:pStyle w:val="Quotations"/>
        <w:widowControl/>
        <w:pBdr>
          <w:left w:val="single" w:sz="14" w:space="1" w:color="6D4AFF"/>
        </w:pBdr>
        <w:shd w:fill="F8FAFC" w:val="clear"/>
        <w:bidi w:val="0"/>
        <w:spacing w:lineRule="auto" w:line="360" w:before="0" w:after="0"/>
        <w:ind w:left="567" w:right="567" w:hanging="0"/>
        <w:jc w:val="left"/>
        <w:rPr/>
      </w:pPr>
      <w:r>
        <w:rPr>
          <w:rFonts w:ascii="Inter;system-ui;sans-serif" w:hAnsi="Inter;system-ui;sans-serif"/>
          <w:b w:val="false"/>
          <w:i/>
          <w:caps w:val="false"/>
          <w:smallCaps w:val="false"/>
          <w:color w:val="24292E"/>
          <w:spacing w:val="0"/>
          <w:sz w:val="17"/>
        </w:rPr>
        <w:t xml:space="preserve">If you fly into cold country — mountains, winter, early-morning dew lines — ask any LFP vendor one question: </w:t>
      </w:r>
      <w:r>
        <w:rPr>
          <w:rStyle w:val="StrongEmphasis"/>
          <w:rFonts w:ascii="Inter;system-ui;sans-serif" w:hAnsi="Inter;system-ui;sans-serif"/>
          <w:b/>
          <w:i/>
          <w:caps w:val="false"/>
          <w:smallCaps w:val="false"/>
          <w:color w:val="24292E"/>
          <w:spacing w:val="0"/>
          <w:sz w:val="17"/>
        </w:rPr>
        <w:t>"What happens when I need to charge at 0°F after an overnight soak?"</w:t>
      </w:r>
      <w:r>
        <w:rPr>
          <w:rFonts w:ascii="Inter;system-ui;sans-serif" w:hAnsi="Inter;system-ui;sans-serif"/>
          <w:b w:val="false"/>
          <w:i/>
          <w:caps w:val="false"/>
          <w:smallCaps w:val="false"/>
          <w:color w:val="24292E"/>
          <w:spacing w:val="0"/>
          <w:sz w:val="17"/>
        </w:rPr>
        <w:t xml:space="preserve"> Their own documentation has already answered it.</w:t>
      </w:r>
    </w:p>
    <w:p>
      <w:pPr>
        <w:pStyle w:val="TextBody"/>
        <w:bidi w:val="0"/>
        <w:spacing w:lineRule="auto" w:line="276" w:before="0" w:after="140"/>
        <w:jc w:val="left"/>
        <w:rPr/>
      </w:pPr>
      <w:r>
        <w:rPr/>
        <w:br/>
      </w:r>
      <w:r>
        <w:rPr>
          <w:rFonts w:ascii="Inter;system-ui;sans-serif" w:hAnsi="Inter;system-ui;sans-serif"/>
          <w:b/>
          <w:i w:val="false"/>
          <w:caps w:val="false"/>
          <w:smallCaps w:val="false"/>
          <w:color w:val="24292E"/>
          <w:spacing w:val="0"/>
          <w:sz w:val="17"/>
        </w:rPr>
        <w:t>The Contradiction Map</w:t>
      </w:r>
    </w:p>
    <w:tbl>
      <w:tblPr>
        <w:tblW w:w="9972" w:type="dxa"/>
        <w:jc w:val="left"/>
        <w:tblInd w:w="0" w:type="dxa"/>
        <w:shd w:fill="FFFFFF" w:val="clear"/>
        <w:tblLayout w:type="fixed"/>
        <w:tblCellMar>
          <w:top w:w="0" w:type="dxa"/>
          <w:left w:w="28" w:type="dxa"/>
          <w:bottom w:w="28" w:type="dxa"/>
          <w:right w:w="0" w:type="dxa"/>
        </w:tblCellMar>
      </w:tblPr>
      <w:tblGrid>
        <w:gridCol w:w="2329"/>
        <w:gridCol w:w="1434"/>
        <w:gridCol w:w="2954"/>
        <w:gridCol w:w="3255"/>
      </w:tblGrid>
      <w:tr>
        <w:trPr>
          <w:tblHeader w:val="true"/>
        </w:trPr>
        <w:tc>
          <w:tcPr>
            <w:tcW w:w="2329"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Claim</w:t>
            </w:r>
          </w:p>
        </w:tc>
        <w:tc>
          <w:tcPr>
            <w:tcW w:w="1434"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Who Says It</w:t>
            </w:r>
          </w:p>
        </w:tc>
        <w:tc>
          <w:tcPr>
            <w:tcW w:w="2954"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What It Actually Means</w:t>
            </w:r>
          </w:p>
        </w:tc>
        <w:tc>
          <w:tcPr>
            <w:tcW w:w="3255"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How Customers Read It</w:t>
            </w:r>
          </w:p>
        </w:tc>
      </w:tr>
      <w:tr>
        <w:trPr/>
        <w:tc>
          <w:tcPr>
            <w:tcW w:w="2329"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"&gt;95% charge retention at -30°C"</w:t>
            </w:r>
          </w:p>
        </w:tc>
        <w:tc>
          <w:tcPr>
            <w:tcW w:w="1434"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EarthX</w:t>
            </w:r>
          </w:p>
        </w:tc>
        <w:tc>
          <w:tcPr>
            <w:tcW w:w="2954"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Probably "minimal self-discharge while storing"</w:t>
            </w:r>
          </w:p>
        </w:tc>
        <w:tc>
          <w:tcPr>
            <w:tcW w:w="3255"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"Battery delivers 95% power at -30°C"</w:t>
            </w:r>
          </w:p>
        </w:tc>
      </w:tr>
      <w:tr>
        <w:trPr/>
        <w:tc>
          <w:tcPr>
            <w:tcW w:w="2329"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"&gt;70% discharge capacity at -30°C"</w:t>
            </w:r>
          </w:p>
        </w:tc>
        <w:tc>
          <w:tcPr>
            <w:tcW w:w="1434"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Grepow (cell maker)</w:t>
            </w:r>
          </w:p>
        </w:tc>
        <w:tc>
          <w:tcPr>
            <w:tcW w:w="2954"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Actual usable energy when drawing power</w:t>
            </w:r>
          </w:p>
        </w:tc>
        <w:tc>
          <w:tcPr>
            <w:tcW w:w="3255"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Accurate technical spec</w:t>
            </w:r>
          </w:p>
        </w:tc>
      </w:tr>
      <w:tr>
        <w:trPr/>
        <w:tc>
          <w:tcPr>
            <w:tcW w:w="2329"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"&lt;55% discharge at -40°C"</w:t>
            </w:r>
          </w:p>
        </w:tc>
        <w:tc>
          <w:tcPr>
            <w:tcW w:w="1434"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Grepow</w:t>
            </w:r>
          </w:p>
        </w:tc>
        <w:tc>
          <w:tcPr>
            <w:tcW w:w="2954"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Nearly half capacity lost at extreme cold</w:t>
            </w:r>
          </w:p>
        </w:tc>
        <w:tc>
          <w:tcPr>
            <w:tcW w:w="3255"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Missing from EarthX marketing</w:t>
            </w:r>
          </w:p>
        </w:tc>
      </w:tr>
      <w:tr>
        <w:trPr/>
        <w:tc>
          <w:tcPr>
            <w:tcW w:w="2329" w:type="dxa"/>
            <w:tcBorders>
              <w:left w:val="single" w:sz="2" w:space="0" w:color="EAE7E4"/>
            </w:tcBorders>
            <w:shd w:fill="F8FAFC" w:val="clear"/>
            <w:tcMar>
              <w:bottom w:w="0" w:type="dxa"/>
            </w:tcMar>
            <w:vAlign w:val="center"/>
          </w:tcPr>
          <w:p>
            <w:pPr>
              <w:pStyle w:val="TableContents"/>
              <w:bidi w:val="0"/>
              <w:ind w:left="0" w:right="0" w:hanging="0"/>
              <w:jc w:val="left"/>
              <w:rPr/>
            </w:pPr>
            <w:r>
              <w:rPr>
                <w:rStyle w:val="StrongEmphasis"/>
                <w:b/>
                <w:color w:val="0C0C14"/>
              </w:rPr>
              <w:t>"Can charge at -20°C"</w:t>
            </w:r>
          </w:p>
        </w:tc>
        <w:tc>
          <w:tcPr>
            <w:tcW w:w="1434" w:type="dxa"/>
            <w:tcBorders>
              <w:left w:val="single" w:sz="2" w:space="0" w:color="EAE7E4"/>
            </w:tcBorders>
            <w:shd w:fill="F8FAFC" w:val="clear"/>
            <w:tcMar>
              <w:bottom w:w="0" w:type="dxa"/>
            </w:tcMar>
            <w:vAlign w:val="center"/>
          </w:tcPr>
          <w:p>
            <w:pPr>
              <w:pStyle w:val="TableContents"/>
              <w:bidi w:val="0"/>
              <w:ind w:left="0" w:right="0" w:hanging="0"/>
              <w:jc w:val="left"/>
              <w:rPr>
                <w:color w:val="0C0C14"/>
              </w:rPr>
            </w:pPr>
            <w:r>
              <w:rPr>
                <w:color w:val="0C0C14"/>
              </w:rPr>
              <w:t>Grepow</w:t>
            </w:r>
          </w:p>
        </w:tc>
        <w:tc>
          <w:tcPr>
            <w:tcW w:w="2954" w:type="dxa"/>
            <w:tcBorders>
              <w:left w:val="single" w:sz="2" w:space="0" w:color="EAE7E4"/>
            </w:tcBorders>
            <w:shd w:fill="F8FAFC" w:val="clear"/>
            <w:tcMar>
              <w:bottom w:w="0" w:type="dxa"/>
            </w:tcMar>
            <w:vAlign w:val="center"/>
          </w:tcPr>
          <w:p>
            <w:pPr>
              <w:pStyle w:val="TableContents"/>
              <w:bidi w:val="0"/>
              <w:ind w:left="0" w:right="0" w:hanging="0"/>
              <w:jc w:val="left"/>
              <w:rPr>
                <w:color w:val="0C0C14"/>
              </w:rPr>
            </w:pPr>
            <w:r>
              <w:rPr>
                <w:color w:val="0C0C14"/>
              </w:rPr>
              <w:t>Limited charge acceptance, likely low C-rate</w:t>
            </w:r>
          </w:p>
        </w:tc>
        <w:tc>
          <w:tcPr>
            <w:tcW w:w="3255" w:type="dxa"/>
            <w:tcBorders/>
            <w:shd w:fill="F8FAFC" w:val="clear"/>
            <w:tcMar>
              <w:left w:w="0" w:type="dxa"/>
              <w:bottom w:w="0" w:type="dxa"/>
            </w:tcMar>
            <w:vAlign w:val="center"/>
          </w:tcPr>
          <w:p>
            <w:pPr>
              <w:pStyle w:val="TableContents"/>
              <w:bidi w:val="0"/>
              <w:jc w:val="left"/>
              <w:rPr>
                <w:color w:val="0C0C14"/>
              </w:rPr>
            </w:pPr>
            <w:r>
              <w:rPr>
                <w:color w:val="0C0C14"/>
              </w:rPr>
              <w:t>Implied in EarthX's "-30°C" claim without qualification</w:t>
            </w:r>
          </w:p>
        </w:tc>
      </w:tr>
    </w:tbl>
    <w:p>
      <w:pPr>
        <w:pStyle w:val="TextBody"/>
        <w:bidi w:val="0"/>
        <w:spacing w:lineRule="auto" w:line="276" w:before="0" w:after="140"/>
        <w:jc w:val="left"/>
        <w:rPr/>
      </w:pPr>
      <w:r>
        <w:rPr/>
        <w:br/>
      </w:r>
      <w:r>
        <w:rPr>
          <w:rStyle w:val="StrongEmphasis"/>
          <w:rFonts w:ascii="Inter;system-ui;sans-serif" w:hAnsi="Inter;system-ui;sans-serif"/>
          <w:b/>
          <w:i w:val="false"/>
          <w:caps w:val="false"/>
          <w:smallCaps w:val="false"/>
          <w:color w:val="24292E"/>
          <w:spacing w:val="0"/>
          <w:sz w:val="17"/>
        </w:rPr>
        <w:t>Vague terminology</w:t>
      </w:r>
      <w:r>
        <w:rPr>
          <w:rFonts w:ascii="Inter;system-ui;sans-serif" w:hAnsi="Inter;system-ui;sans-serif"/>
          <w:b w:val="false"/>
          <w:i w:val="false"/>
          <w:caps w:val="false"/>
          <w:smallCaps w:val="false"/>
          <w:color w:val="24292E"/>
          <w:spacing w:val="0"/>
          <w:sz w:val="17"/>
        </w:rPr>
        <w:t>: "Charge retention" is almost never what buyers mean when they ask "will my battery work in winter?" Buyers mean discharge/cranking performance.</w:t>
      </w:r>
    </w:p>
    <w:p>
      <w:pPr>
        <w:pStyle w:val="TextBody"/>
        <w:widowControl/>
        <w:numPr>
          <w:ilvl w:val="0"/>
          <w:numId w:val="1"/>
        </w:numPr>
        <w:pBdr/>
        <w:tabs>
          <w:tab w:val="clear" w:pos="709"/>
          <w:tab w:val="left" w:pos="0" w:leader="none"/>
        </w:tabs>
        <w:bidi w:val="0"/>
        <w:spacing w:lineRule="auto" w:line="360" w:before="0" w:after="0"/>
        <w:ind w:left="0" w:right="0" w:hanging="0"/>
        <w:jc w:val="left"/>
        <w:rPr/>
      </w:pPr>
      <w:r>
        <w:rPr>
          <w:rStyle w:val="StrongEmphasis"/>
          <w:rFonts w:ascii="Inter;system-ui;sans-serif" w:hAnsi="Inter;system-ui;sans-serif"/>
          <w:b/>
          <w:i w:val="false"/>
          <w:caps w:val="false"/>
          <w:smallCaps w:val="false"/>
          <w:color w:val="24292E"/>
          <w:spacing w:val="0"/>
          <w:sz w:val="17"/>
        </w:rPr>
        <w:t>Selective transparency</w:t>
      </w:r>
      <w:r>
        <w:rPr>
          <w:rFonts w:ascii="Inter;system-ui;sans-serif" w:hAnsi="Inter;system-ui;sans-serif"/>
          <w:b w:val="false"/>
          <w:i w:val="false"/>
          <w:caps w:val="false"/>
          <w:smallCaps w:val="false"/>
          <w:color w:val="24292E"/>
          <w:spacing w:val="0"/>
          <w:sz w:val="17"/>
        </w:rPr>
        <w:t xml:space="preserve">: EarthX advertises Grepow's specialty low-temp chemistry without disclosing the </w:t>
      </w:r>
      <w:r>
        <w:rPr>
          <w:rStyle w:val="Emphasis"/>
          <w:rFonts w:ascii="Inter;system-ui;sans-serif" w:hAnsi="Inter;system-ui;sans-serif"/>
          <w:b w:val="false"/>
          <w:i w:val="false"/>
          <w:caps w:val="false"/>
          <w:smallCaps w:val="false"/>
          <w:color w:val="24292E"/>
          <w:spacing w:val="0"/>
          <w:sz w:val="17"/>
        </w:rPr>
        <w:t>actual</w:t>
      </w:r>
      <w:r>
        <w:rPr>
          <w:rFonts w:ascii="Inter;system-ui;sans-serif" w:hAnsi="Inter;system-ui;sans-serif"/>
          <w:b w:val="false"/>
          <w:i w:val="false"/>
          <w:caps w:val="false"/>
          <w:smallCaps w:val="false"/>
          <w:color w:val="24292E"/>
          <w:spacing w:val="0"/>
          <w:sz w:val="17"/>
        </w:rPr>
        <w:t xml:space="preserve"> cold performance numbers.</w:t>
      </w:r>
    </w:p>
    <w:p>
      <w:pPr>
        <w:pStyle w:val="TextBody"/>
        <w:widowControl/>
        <w:numPr>
          <w:ilvl w:val="0"/>
          <w:numId w:val="1"/>
        </w:numPr>
        <w:pBdr/>
        <w:tabs>
          <w:tab w:val="clear" w:pos="709"/>
          <w:tab w:val="left" w:pos="0" w:leader="none"/>
        </w:tabs>
        <w:bidi w:val="0"/>
        <w:spacing w:lineRule="auto" w:line="360" w:before="0" w:after="0"/>
        <w:ind w:left="0" w:right="0" w:hanging="0"/>
        <w:jc w:val="left"/>
        <w:rPr/>
      </w:pPr>
      <w:r>
        <w:rPr>
          <w:rStyle w:val="StrongEmphasis"/>
          <w:rFonts w:ascii="Inter;system-ui;sans-serif" w:hAnsi="Inter;system-ui;sans-serif"/>
          <w:b/>
          <w:i w:val="false"/>
          <w:caps w:val="false"/>
          <w:smallCaps w:val="false"/>
          <w:color w:val="24292E"/>
          <w:spacing w:val="0"/>
          <w:sz w:val="17"/>
        </w:rPr>
        <w:t>Supply chain disclosure gap</w:t>
      </w:r>
      <w:r>
        <w:rPr>
          <w:rFonts w:ascii="Inter;system-ui;sans-serif" w:hAnsi="Inter;system-ui;sans-serif"/>
          <w:b w:val="false"/>
          <w:i w:val="false"/>
          <w:caps w:val="false"/>
          <w:smallCaps w:val="false"/>
          <w:color w:val="24292E"/>
          <w:spacing w:val="0"/>
          <w:sz w:val="17"/>
        </w:rPr>
        <w:t>: The cell manufacturer says 70%, the branded product says 95% — one number is hiding the truth.</w:t>
      </w:r>
    </w:p>
    <w:p>
      <w:pPr>
        <w:pStyle w:val="TextBody"/>
        <w:bidi w:val="0"/>
        <w:spacing w:lineRule="auto" w:line="276" w:before="0" w:after="140"/>
        <w:jc w:val="left"/>
        <w:rPr/>
      </w:pPr>
      <w:r>
        <w:rPr/>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EarthX's Cold Weather Claim Doesn't Match Their Cell Supplier</w:t>
      </w:r>
    </w:p>
    <w:p>
      <w:pPr>
        <w:pStyle w:val="TextBody"/>
        <w:widowControl/>
        <w:bidi w:val="0"/>
        <w:spacing w:lineRule="auto" w:line="360" w:before="0" w:after="0"/>
        <w:ind w:left="0" w:right="0" w:hanging="0"/>
        <w:jc w:val="left"/>
        <w:rPr/>
      </w:pPr>
      <w:r>
        <w:rPr>
          <w:rFonts w:ascii="Inter;system-ui;sans-serif" w:hAnsi="Inter;system-ui;sans-serif"/>
          <w:b w:val="false"/>
          <w:i/>
          <w:color w:val="24292E"/>
          <w:spacing w:val="0"/>
          <w:sz w:val="17"/>
        </w:rPr>
        <w:t>EarthX states on their website: "</w:t>
      </w:r>
      <w:r>
        <w:rPr>
          <w:rStyle w:val="Emphasis"/>
          <w:rFonts w:ascii="Inter;system-ui;sans-serif" w:hAnsi="Inter;system-ui;sans-serif"/>
          <w:b w:val="false"/>
          <w:i/>
          <w:color w:val="24292E"/>
          <w:spacing w:val="0"/>
          <w:sz w:val="17"/>
        </w:rPr>
        <w:t>Low temperature electrolytes... allows &gt;95% charge retention down to −30°C.</w:t>
      </w:r>
      <w:r>
        <w:rPr>
          <w:rFonts w:ascii="Inter;system-ui;sans-serif" w:hAnsi="Inter;system-ui;sans-serif"/>
          <w:b w:val="false"/>
          <w:i/>
          <w:color w:val="24292E"/>
          <w:spacing w:val="0"/>
          <w:sz w:val="17"/>
        </w:rPr>
        <w:t>" That sounds great until you look up their cell supplier.</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Grepow</w:t>
      </w:r>
      <w:r>
        <w:rPr>
          <w:rFonts w:ascii="Inter;system-ui;sans-serif" w:hAnsi="Inter;system-ui;sans-serif"/>
          <w:b w:val="false"/>
          <w:i/>
          <w:color w:val="24292E"/>
          <w:spacing w:val="0"/>
          <w:sz w:val="17"/>
        </w:rPr>
        <w:t xml:space="preserve"> (whose cells EarthX sources) publishes these specs for their own low-temperature LFP line:</w:t>
      </w:r>
    </w:p>
    <w:p>
      <w:pPr>
        <w:pStyle w:val="TextBody"/>
        <w:widowControl/>
        <w:numPr>
          <w:ilvl w:val="0"/>
          <w:numId w:val="2"/>
        </w:numPr>
        <w:pBdr/>
        <w:tabs>
          <w:tab w:val="clear" w:pos="709"/>
          <w:tab w:val="left" w:pos="0" w:leader="none"/>
        </w:tabs>
        <w:bidi w:val="0"/>
        <w:spacing w:lineRule="auto" w:line="360" w:before="0" w:after="0"/>
        <w:ind w:left="0" w:right="0" w:hanging="0"/>
        <w:jc w:val="left"/>
        <w:rPr/>
      </w:pPr>
      <w:r>
        <w:rPr>
          <w:rStyle w:val="StrongEmphasis"/>
          <w:rFonts w:ascii="Inter;system-ui;sans-serif" w:hAnsi="Inter;system-ui;sans-serif"/>
          <w:b/>
          <w:i/>
          <w:color w:val="24292E"/>
          <w:spacing w:val="0"/>
          <w:sz w:val="17"/>
        </w:rPr>
        <w:t>85%</w:t>
      </w:r>
      <w:r>
        <w:rPr>
          <w:rFonts w:ascii="Inter;system-ui;sans-serif" w:hAnsi="Inter;system-ui;sans-serif"/>
          <w:b w:val="false"/>
          <w:i/>
          <w:color w:val="24292E"/>
          <w:spacing w:val="0"/>
          <w:sz w:val="17"/>
        </w:rPr>
        <w:t xml:space="preserve"> capacity at −20°C</w:t>
      </w:r>
    </w:p>
    <w:p>
      <w:pPr>
        <w:pStyle w:val="TextBody"/>
        <w:widowControl/>
        <w:numPr>
          <w:ilvl w:val="0"/>
          <w:numId w:val="2"/>
        </w:numPr>
        <w:pBdr/>
        <w:tabs>
          <w:tab w:val="clear" w:pos="709"/>
          <w:tab w:val="left" w:pos="0" w:leader="none"/>
        </w:tabs>
        <w:bidi w:val="0"/>
        <w:spacing w:lineRule="auto" w:line="360" w:before="0" w:after="0"/>
        <w:ind w:left="0" w:right="0" w:hanging="0"/>
        <w:jc w:val="left"/>
        <w:rPr/>
      </w:pPr>
      <w:r>
        <w:rPr>
          <w:rStyle w:val="StrongEmphasis"/>
          <w:rFonts w:ascii="Inter;system-ui;sans-serif" w:hAnsi="Inter;system-ui;sans-serif"/>
          <w:b/>
          <w:i/>
          <w:color w:val="24292E"/>
          <w:spacing w:val="0"/>
          <w:sz w:val="17"/>
        </w:rPr>
        <w:t>70%</w:t>
      </w:r>
      <w:r>
        <w:rPr>
          <w:rFonts w:ascii="Inter;system-ui;sans-serif" w:hAnsi="Inter;system-ui;sans-serif"/>
          <w:b w:val="false"/>
          <w:i/>
          <w:color w:val="24292E"/>
          <w:spacing w:val="0"/>
          <w:sz w:val="17"/>
        </w:rPr>
        <w:t xml:space="preserve"> capacity at −30°C</w:t>
      </w:r>
    </w:p>
    <w:p>
      <w:pPr>
        <w:pStyle w:val="TextBody"/>
        <w:widowControl/>
        <w:numPr>
          <w:ilvl w:val="0"/>
          <w:numId w:val="2"/>
        </w:numPr>
        <w:pBdr/>
        <w:tabs>
          <w:tab w:val="clear" w:pos="709"/>
          <w:tab w:val="left" w:pos="0" w:leader="none"/>
        </w:tabs>
        <w:bidi w:val="0"/>
        <w:spacing w:lineRule="auto" w:line="360" w:before="0" w:after="0"/>
        <w:ind w:left="0" w:right="0" w:hanging="0"/>
        <w:jc w:val="left"/>
        <w:rPr/>
      </w:pPr>
      <w:r>
        <w:rPr>
          <w:rStyle w:val="StrongEmphasis"/>
          <w:rFonts w:ascii="Inter;system-ui;sans-serif" w:hAnsi="Inter;system-ui;sans-serif"/>
          <w:b/>
          <w:i/>
          <w:color w:val="24292E"/>
          <w:spacing w:val="0"/>
          <w:sz w:val="17"/>
        </w:rPr>
        <w:t>55%</w:t>
      </w:r>
      <w:r>
        <w:rPr>
          <w:rFonts w:ascii="Inter;system-ui;sans-serif" w:hAnsi="Inter;system-ui;sans-serif"/>
          <w:b w:val="false"/>
          <w:i/>
          <w:color w:val="24292E"/>
          <w:spacing w:val="0"/>
          <w:sz w:val="17"/>
        </w:rPr>
        <w:t xml:space="preserve"> capacity at −40°C</w:t>
      </w:r>
    </w:p>
    <w:p>
      <w:pPr>
        <w:pStyle w:val="TextBody"/>
        <w:widowControl/>
        <w:bidi w:val="0"/>
        <w:spacing w:lineRule="auto" w:line="360" w:before="0" w:after="0"/>
        <w:ind w:left="0" w:right="0" w:hanging="0"/>
        <w:jc w:val="left"/>
        <w:rPr/>
      </w:pPr>
      <w:r>
        <w:rPr>
          <w:rFonts w:ascii="Inter;system-ui;sans-serif" w:hAnsi="Inter;system-ui;sans-serif"/>
          <w:b w:val="false"/>
          <w:i/>
          <w:color w:val="24292E"/>
          <w:spacing w:val="0"/>
          <w:sz w:val="17"/>
        </w:rPr>
        <w:t>Note the difference. EarthX says "</w:t>
      </w:r>
      <w:r>
        <w:rPr>
          <w:rStyle w:val="StrongEmphasis"/>
          <w:rFonts w:ascii="Inter;system-ui;sans-serif" w:hAnsi="Inter;system-ui;sans-serif"/>
          <w:b/>
          <w:i/>
          <w:color w:val="24292E"/>
          <w:spacing w:val="0"/>
          <w:sz w:val="17"/>
        </w:rPr>
        <w:t>95% charge retention</w:t>
      </w:r>
      <w:r>
        <w:rPr>
          <w:rFonts w:ascii="Inter;system-ui;sans-serif" w:hAnsi="Inter;system-ui;sans-serif"/>
          <w:b w:val="false"/>
          <w:i/>
          <w:color w:val="24292E"/>
          <w:spacing w:val="0"/>
          <w:sz w:val="17"/>
        </w:rPr>
        <w:t>" at −30°C. Grepow says "</w:t>
      </w:r>
      <w:r>
        <w:rPr>
          <w:rStyle w:val="StrongEmphasis"/>
          <w:rFonts w:ascii="Inter;system-ui;sans-serif" w:hAnsi="Inter;system-ui;sans-serif"/>
          <w:b/>
          <w:i/>
          <w:color w:val="24292E"/>
          <w:spacing w:val="0"/>
          <w:sz w:val="17"/>
        </w:rPr>
        <w:t>70% discharge capacity</w:t>
      </w:r>
      <w:r>
        <w:rPr>
          <w:rFonts w:ascii="Inter;system-ui;sans-serif" w:hAnsi="Inter;system-ui;sans-serif"/>
          <w:b w:val="false"/>
          <w:i/>
          <w:color w:val="24292E"/>
          <w:spacing w:val="0"/>
          <w:sz w:val="17"/>
        </w:rPr>
        <w:t>" at −30°C. Those are different measurements. "Charge retention" usually means "how much charge stays in the battery while sitting idle" (self-di</w:t>
      </w:r>
      <w:r>
        <w:rPr>
          <w:rFonts w:ascii="Inter;system-ui;sans-serif" w:hAnsi="Inter;system-ui;sans-serif"/>
          <w:b w:val="false"/>
          <w:i/>
          <w:color w:val="24292E"/>
          <w:spacing w:val="0"/>
          <w:sz w:val="17"/>
        </w:rPr>
        <w:t>scharg</w:t>
      </w:r>
      <w:r>
        <w:rPr>
          <w:rFonts w:ascii="Inter;system-ui;sans-serif" w:hAnsi="Inter;system-ui;sans-serif"/>
          <w:b w:val="false"/>
          <w:i/>
          <w:color w:val="24292E"/>
          <w:spacing w:val="0"/>
          <w:sz w:val="17"/>
        </w:rPr>
        <w:t xml:space="preserve">e). But when you need to start an engine, what matters is </w:t>
      </w:r>
      <w:r>
        <w:rPr>
          <w:rStyle w:val="Emphasis"/>
          <w:rFonts w:ascii="Inter;system-ui;sans-serif" w:hAnsi="Inter;system-ui;sans-serif"/>
          <w:b w:val="false"/>
          <w:i/>
          <w:color w:val="24292E"/>
          <w:spacing w:val="0"/>
          <w:sz w:val="17"/>
        </w:rPr>
        <w:t>discharge capacity</w:t>
      </w:r>
      <w:r>
        <w:rPr>
          <w:rFonts w:ascii="Inter;system-ui;sans-serif" w:hAnsi="Inter;system-ui;sans-serif"/>
          <w:b w:val="false"/>
          <w:i/>
          <w:color w:val="24292E"/>
          <w:spacing w:val="0"/>
          <w:sz w:val="17"/>
        </w:rPr>
        <w:t xml:space="preserve"> — how much power the battery can deliver under load.</w:t>
      </w:r>
    </w:p>
    <w:p>
      <w:pPr>
        <w:pStyle w:val="TextBody"/>
        <w:widowControl/>
        <w:bidi w:val="0"/>
        <w:spacing w:lineRule="auto" w:line="360" w:before="0" w:after="0"/>
        <w:ind w:left="0" w:right="0" w:hanging="0"/>
        <w:jc w:val="left"/>
        <w:rPr/>
      </w:pPr>
      <w:r>
        <w:rPr>
          <w:rFonts w:ascii="Inter;system-ui;sans-serif" w:hAnsi="Inter;system-ui;sans-serif"/>
          <w:b w:val="false"/>
          <w:i/>
          <w:color w:val="24292E"/>
          <w:spacing w:val="0"/>
          <w:sz w:val="17"/>
        </w:rPr>
        <w:t xml:space="preserve">In marketing, customers read "95% charge retention" as "this battery performs at 95% of its normal capability in cold weather." But the cell-maker data says </w:t>
      </w:r>
      <w:r>
        <w:rPr>
          <w:rStyle w:val="StrongEmphasis"/>
          <w:rFonts w:ascii="Inter;system-ui;sans-serif" w:hAnsi="Inter;system-ui;sans-serif"/>
          <w:b/>
          <w:i/>
          <w:color w:val="24292E"/>
          <w:spacing w:val="0"/>
          <w:sz w:val="17"/>
        </w:rPr>
        <w:t>30% of your cranking power is gone</w:t>
      </w:r>
      <w:r>
        <w:rPr>
          <w:rFonts w:ascii="Inter;system-ui;sans-serif" w:hAnsi="Inter;system-ui;sans-serif"/>
          <w:b w:val="false"/>
          <w:i/>
          <w:color w:val="24292E"/>
          <w:spacing w:val="0"/>
          <w:sz w:val="17"/>
        </w:rPr>
        <w:t xml:space="preserve"> at −30°C.</w:t>
      </w:r>
    </w:p>
    <w:p>
      <w:pPr>
        <w:pStyle w:val="TextBody"/>
        <w:bidi w:val="0"/>
        <w:spacing w:lineRule="auto" w:line="276" w:before="0" w:after="140"/>
        <w:jc w:val="left"/>
        <w:rPr/>
      </w:pPr>
      <w:r>
        <w:rPr/>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Grepow only advertises charging down to −20°C.</w:t>
      </w:r>
      <w:r>
        <w:rPr>
          <w:rFonts w:ascii="Inter;system-ui;sans-serif" w:hAnsi="Inter;system-ui;sans-serif"/>
          <w:b w:val="false"/>
          <w:i/>
          <w:color w:val="24292E"/>
          <w:spacing w:val="0"/>
          <w:sz w:val="17"/>
        </w:rPr>
        <w:t xml:space="preserve"> EarthX says "down to −30°C" without clarifying that this likely excludes sustained charging rates — because the plating risk they describe in their own fact sheet becomes severe below 0°C.</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Sodium-ion doesn't have this discrepancy.</w:t>
      </w:r>
      <w:r>
        <w:rPr>
          <w:rFonts w:ascii="Inter;system-ui;sans-serif" w:hAnsi="Inter;system-ui;sans-serif"/>
          <w:b w:val="false"/>
          <w:i/>
          <w:color w:val="24292E"/>
          <w:spacing w:val="0"/>
          <w:sz w:val="17"/>
        </w:rPr>
        <w:t xml:space="preserve"> Our cell chemistry delivers consistent discharge and charge acceptance across temperature ranges because sodium diffusion kinetics remain functional where lithium intercalation stalls. We publish both the numbers — you can compare them directly to what LFP vendors hide in fine print.</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Question for LFP vendors:</w:t>
      </w:r>
      <w:r>
        <w:rPr>
          <w:rFonts w:ascii="Inter;system-ui;sans-serif" w:hAnsi="Inter;system-ui;sans-serif"/>
          <w:b w:val="false"/>
          <w:i/>
          <w:color w:val="24292E"/>
          <w:spacing w:val="0"/>
          <w:sz w:val="17"/>
        </w:rPr>
        <w:t xml:space="preserve"> If cold weather doesn't reduce discharge capacity, why does the cell supplier list 30% capacity loss at −30°C? And if "charge retention" is the right metric for winter flying, why doesn't anyone ask "retention of what" before buying a starter battery?</w:t>
      </w:r>
    </w:p>
    <w:p>
      <w:pPr>
        <w:pStyle w:val="TextBody"/>
        <w:bidi w:val="0"/>
        <w:spacing w:lineRule="auto" w:line="276" w:before="0" w:after="140"/>
        <w:jc w:val="left"/>
        <w:rPr/>
      </w:pPr>
      <w:r>
        <w:rPr/>
      </w:r>
    </w:p>
    <w:p>
      <w:pPr>
        <w:pStyle w:val="TextBody"/>
        <w:bidi w:val="0"/>
        <w:spacing w:lineRule="auto" w:line="276" w:before="0" w:after="140"/>
        <w:jc w:val="left"/>
        <w:rPr/>
      </w:pPr>
      <w:r>
        <w:rPr/>
      </w:r>
    </w:p>
    <w:tbl>
      <w:tblPr>
        <w:tblW w:w="9972" w:type="dxa"/>
        <w:jc w:val="left"/>
        <w:tblInd w:w="0" w:type="dxa"/>
        <w:shd w:fill="FFFFFF" w:val="clear"/>
        <w:tblLayout w:type="fixed"/>
        <w:tblCellMar>
          <w:top w:w="0" w:type="dxa"/>
          <w:left w:w="28" w:type="dxa"/>
          <w:bottom w:w="28" w:type="dxa"/>
          <w:right w:w="0" w:type="dxa"/>
        </w:tblCellMar>
      </w:tblPr>
      <w:tblGrid>
        <w:gridCol w:w="1944"/>
        <w:gridCol w:w="4412"/>
        <w:gridCol w:w="3616"/>
      </w:tblGrid>
      <w:tr>
        <w:trPr>
          <w:tblHeader w:val="true"/>
        </w:trPr>
        <w:tc>
          <w:tcPr>
            <w:tcW w:w="1944"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Term</w:t>
            </w:r>
          </w:p>
        </w:tc>
        <w:tc>
          <w:tcPr>
            <w:tcW w:w="4412"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Definition</w:t>
            </w:r>
          </w:p>
        </w:tc>
        <w:tc>
          <w:tcPr>
            <w:tcW w:w="3616"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Why It Matters</w:t>
            </w:r>
          </w:p>
        </w:tc>
      </w:tr>
      <w:tr>
        <w:trPr/>
        <w:tc>
          <w:tcPr>
            <w:tcW w:w="1944"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 xml:space="preserve">1. </w:t>
            </w:r>
            <w:r>
              <w:rPr>
                <w:rStyle w:val="StrongEmphasis"/>
                <w:b/>
                <w:color w:val="0C0C14"/>
              </w:rPr>
              <w:t>Capacity</w:t>
            </w:r>
          </w:p>
        </w:tc>
        <w:tc>
          <w:tcPr>
            <w:tcW w:w="441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Total energy stored (Ah) at rated conditions</w:t>
            </w:r>
          </w:p>
        </w:tc>
        <w:tc>
          <w:tcPr>
            <w:tcW w:w="3616"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Determines runtime or cranking duration</w:t>
            </w:r>
          </w:p>
        </w:tc>
      </w:tr>
      <w:tr>
        <w:trPr/>
        <w:tc>
          <w:tcPr>
            <w:tcW w:w="1944"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 xml:space="preserve">2. </w:t>
            </w:r>
            <w:r>
              <w:rPr>
                <w:rStyle w:val="StrongEmphasis"/>
                <w:b/>
                <w:color w:val="0C0C14"/>
              </w:rPr>
              <w:t>Discharge Capacity</w:t>
            </w:r>
          </w:p>
        </w:tc>
        <w:tc>
          <w:tcPr>
            <w:tcW w:w="441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Usable energy extracted under load at a given temp</w:t>
            </w:r>
          </w:p>
        </w:tc>
        <w:tc>
          <w:tcPr>
            <w:tcW w:w="3616" w:type="dxa"/>
            <w:tcBorders>
              <w:bottom w:val="single" w:sz="2" w:space="0" w:color="EAE7E4"/>
            </w:tcBorders>
            <w:shd w:fill="FFFFFF" w:val="clear"/>
            <w:tcMar>
              <w:left w:w="0" w:type="dxa"/>
            </w:tcMar>
            <w:vAlign w:val="center"/>
          </w:tcPr>
          <w:p>
            <w:pPr>
              <w:pStyle w:val="TableContents"/>
              <w:bidi w:val="0"/>
              <w:ind w:left="0" w:right="0" w:hanging="0"/>
              <w:jc w:val="left"/>
              <w:rPr/>
            </w:pPr>
            <w:r>
              <w:rPr>
                <w:rStyle w:val="StrongEmphasis"/>
                <w:b/>
                <w:color w:val="0C0C14"/>
              </w:rPr>
              <w:t>What matters for engine starting</w:t>
            </w:r>
          </w:p>
        </w:tc>
      </w:tr>
      <w:tr>
        <w:trPr/>
        <w:tc>
          <w:tcPr>
            <w:tcW w:w="1944"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 xml:space="preserve">3. </w:t>
            </w:r>
            <w:r>
              <w:rPr>
                <w:rStyle w:val="StrongEmphasis"/>
                <w:b/>
                <w:color w:val="0C0C14"/>
              </w:rPr>
              <w:t>Charge Retention</w:t>
            </w:r>
          </w:p>
        </w:tc>
        <w:tc>
          <w:tcPr>
            <w:tcW w:w="441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Ability to hold charge over time (self-discharge rate)</w:t>
            </w:r>
          </w:p>
        </w:tc>
        <w:tc>
          <w:tcPr>
            <w:tcW w:w="3616"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Relevant for long storage, not cranking</w:t>
            </w:r>
          </w:p>
        </w:tc>
      </w:tr>
      <w:tr>
        <w:trPr/>
        <w:tc>
          <w:tcPr>
            <w:tcW w:w="1944"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 xml:space="preserve">4, </w:t>
            </w:r>
            <w:r>
              <w:rPr>
                <w:rStyle w:val="StrongEmphasis"/>
                <w:b/>
                <w:color w:val="0C0C14"/>
              </w:rPr>
              <w:t>Cranking Amps</w:t>
            </w:r>
          </w:p>
        </w:tc>
        <w:tc>
          <w:tcPr>
            <w:tcW w:w="441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Peak current delivered for short burst</w:t>
            </w:r>
          </w:p>
        </w:tc>
        <w:tc>
          <w:tcPr>
            <w:tcW w:w="3616" w:type="dxa"/>
            <w:tcBorders>
              <w:bottom w:val="single" w:sz="2" w:space="0" w:color="EAE7E4"/>
            </w:tcBorders>
            <w:shd w:fill="FFFFFF" w:val="clear"/>
            <w:tcMar>
              <w:left w:w="0" w:type="dxa"/>
            </w:tcMar>
            <w:vAlign w:val="center"/>
          </w:tcPr>
          <w:p>
            <w:pPr>
              <w:pStyle w:val="TableContents"/>
              <w:bidi w:val="0"/>
              <w:ind w:left="0" w:right="0" w:hanging="0"/>
              <w:jc w:val="left"/>
              <w:rPr/>
            </w:pPr>
            <w:r>
              <w:rPr>
                <w:rStyle w:val="StrongEmphasis"/>
                <w:b/>
                <w:color w:val="0C0C14"/>
              </w:rPr>
              <w:t>What matters for turbine startup</w:t>
            </w:r>
          </w:p>
        </w:tc>
      </w:tr>
      <w:tr>
        <w:trPr/>
        <w:tc>
          <w:tcPr>
            <w:tcW w:w="1944" w:type="dxa"/>
            <w:tcBorders>
              <w:left w:val="single" w:sz="2" w:space="0" w:color="EAE7E4"/>
            </w:tcBorders>
            <w:shd w:fill="F8FAFC" w:val="clear"/>
            <w:tcMar>
              <w:bottom w:w="0" w:type="dxa"/>
            </w:tcMar>
            <w:vAlign w:val="center"/>
          </w:tcPr>
          <w:p>
            <w:pPr>
              <w:pStyle w:val="TableContents"/>
              <w:bidi w:val="0"/>
              <w:ind w:left="0" w:right="0" w:hanging="0"/>
              <w:jc w:val="left"/>
              <w:rPr/>
            </w:pPr>
            <w:r>
              <w:rPr>
                <w:rStyle w:val="StrongEmphasis"/>
                <w:b/>
                <w:color w:val="0C0C14"/>
              </w:rPr>
              <w:t xml:space="preserve">5, </w:t>
            </w:r>
            <w:r>
              <w:rPr>
                <w:rStyle w:val="StrongEmphasis"/>
                <w:b/>
                <w:color w:val="0C0C14"/>
              </w:rPr>
              <w:t>Charge Acceptance</w:t>
            </w:r>
          </w:p>
        </w:tc>
        <w:tc>
          <w:tcPr>
            <w:tcW w:w="4412" w:type="dxa"/>
            <w:tcBorders>
              <w:left w:val="single" w:sz="2" w:space="0" w:color="EAE7E4"/>
            </w:tcBorders>
            <w:shd w:fill="F8FAFC" w:val="clear"/>
            <w:tcMar>
              <w:bottom w:w="0" w:type="dxa"/>
            </w:tcMar>
            <w:vAlign w:val="center"/>
          </w:tcPr>
          <w:p>
            <w:pPr>
              <w:pStyle w:val="TableContents"/>
              <w:bidi w:val="0"/>
              <w:ind w:left="0" w:right="0" w:hanging="0"/>
              <w:jc w:val="left"/>
              <w:rPr>
                <w:color w:val="0C0C14"/>
              </w:rPr>
            </w:pPr>
            <w:r>
              <w:rPr>
                <w:color w:val="0C0C14"/>
              </w:rPr>
              <w:t>How fast the battery can accept current</w:t>
            </w:r>
          </w:p>
        </w:tc>
        <w:tc>
          <w:tcPr>
            <w:tcW w:w="3616" w:type="dxa"/>
            <w:tcBorders/>
            <w:shd w:fill="F8FAFC" w:val="clear"/>
            <w:tcMar>
              <w:left w:w="0" w:type="dxa"/>
              <w:bottom w:w="0" w:type="dxa"/>
            </w:tcMar>
            <w:vAlign w:val="center"/>
          </w:tcPr>
          <w:p>
            <w:pPr>
              <w:pStyle w:val="TableContents"/>
              <w:bidi w:val="0"/>
              <w:jc w:val="left"/>
              <w:rPr>
                <w:color w:val="0C0C14"/>
              </w:rPr>
            </w:pPr>
            <w:r>
              <w:rPr>
                <w:color w:val="0C0C14"/>
              </w:rPr>
              <w:t>Critical for alternator/generator recharging</w:t>
            </w:r>
          </w:p>
        </w:tc>
      </w:tr>
    </w:tbl>
    <w:p>
      <w:pPr>
        <w:pStyle w:val="TextBody"/>
        <w:widowControl/>
        <w:bidi w:val="0"/>
        <w:spacing w:lineRule="auto" w:line="360"/>
        <w:ind w:left="0" w:right="0" w:hanging="0"/>
        <w:jc w:val="left"/>
        <w:rPr>
          <w:rFonts w:ascii="Inter;system-ui;sans-serif" w:hAnsi="Inter;system-ui;sans-serif"/>
          <w:b w:val="false"/>
          <w:i w:val="false"/>
          <w:caps w:val="false"/>
          <w:smallCaps w:val="false"/>
          <w:color w:val="24292E"/>
          <w:spacing w:val="0"/>
          <w:sz w:val="24"/>
          <w:szCs w:val="24"/>
        </w:rPr>
      </w:pPr>
      <w:r>
        <w:rPr>
          <w:rFonts w:ascii="Inter;system-ui;sans-serif" w:hAnsi="Inter;system-ui;sans-serif"/>
          <w:b w:val="false"/>
          <w:i w:val="false"/>
          <w:caps w:val="false"/>
          <w:smallCaps w:val="false"/>
          <w:color w:val="24292E"/>
          <w:spacing w:val="0"/>
          <w:sz w:val="24"/>
          <w:szCs w:val="24"/>
        </w:rPr>
        <w:t xml:space="preserve">EarthX </w:t>
      </w:r>
      <w:r>
        <w:rPr>
          <w:rFonts w:ascii="Inter;system-ui;sans-serif" w:hAnsi="Inter;system-ui;sans-serif"/>
          <w:b w:val="false"/>
          <w:i w:val="false"/>
          <w:caps w:val="false"/>
          <w:smallCaps w:val="false"/>
          <w:color w:val="24292E"/>
          <w:spacing w:val="0"/>
          <w:sz w:val="24"/>
          <w:szCs w:val="24"/>
        </w:rPr>
        <w:t xml:space="preserve">has </w:t>
      </w:r>
      <w:r>
        <w:rPr>
          <w:rFonts w:ascii="Inter;system-ui;sans-serif" w:hAnsi="Inter;system-ui;sans-serif"/>
          <w:b w:val="false"/>
          <w:i w:val="false"/>
          <w:caps w:val="false"/>
          <w:smallCaps w:val="false"/>
          <w:color w:val="24292E"/>
          <w:spacing w:val="0"/>
          <w:sz w:val="24"/>
          <w:szCs w:val="24"/>
        </w:rPr>
        <w:t>conflated #3 (storage metric) with #2 (performance metric).</w:t>
      </w:r>
    </w:p>
    <w:p>
      <w:pPr>
        <w:pStyle w:val="TextBody"/>
        <w:bidi w:val="0"/>
        <w:spacing w:lineRule="auto" w:line="276" w:before="0" w:after="140"/>
        <w:jc w:val="left"/>
        <w:rPr/>
      </w:pPr>
      <w:r>
        <w:rPr/>
      </w:r>
    </w:p>
    <w:tbl>
      <w:tblPr>
        <w:tblW w:w="9964" w:type="dxa"/>
        <w:jc w:val="left"/>
        <w:tblInd w:w="0" w:type="dxa"/>
        <w:shd w:fill="FFFFFF" w:val="clear"/>
        <w:tblLayout w:type="fixed"/>
        <w:tblCellMar>
          <w:top w:w="0" w:type="dxa"/>
          <w:left w:w="28" w:type="dxa"/>
          <w:bottom w:w="28" w:type="dxa"/>
          <w:right w:w="0" w:type="dxa"/>
        </w:tblCellMar>
      </w:tblPr>
      <w:tblGrid>
        <w:gridCol w:w="1939"/>
        <w:gridCol w:w="2710"/>
        <w:gridCol w:w="2878"/>
        <w:gridCol w:w="2437"/>
      </w:tblGrid>
      <w:tr>
        <w:trPr>
          <w:tblHeader w:val="true"/>
        </w:trPr>
        <w:tc>
          <w:tcPr>
            <w:tcW w:w="1939"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Condition</w:t>
            </w:r>
          </w:p>
        </w:tc>
        <w:tc>
          <w:tcPr>
            <w:tcW w:w="2710"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Grepow's Published Data</w:t>
            </w:r>
          </w:p>
        </w:tc>
        <w:tc>
          <w:tcPr>
            <w:tcW w:w="2878"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EarthX's Marketing Claim</w:t>
            </w:r>
          </w:p>
        </w:tc>
        <w:tc>
          <w:tcPr>
            <w:tcW w:w="2437"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Customer Assumption</w:t>
            </w:r>
          </w:p>
        </w:tc>
      </w:tr>
      <w:tr>
        <w:trPr/>
        <w:tc>
          <w:tcPr>
            <w:tcW w:w="1939"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Capacity at -20°C</w:t>
            </w:r>
          </w:p>
        </w:tc>
        <w:tc>
          <w:tcPr>
            <w:tcW w:w="2710"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85%</w:t>
            </w:r>
          </w:p>
        </w:tc>
        <w:tc>
          <w:tcPr>
            <w:tcW w:w="2878"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(Not stated)</w:t>
            </w:r>
          </w:p>
        </w:tc>
        <w:tc>
          <w:tcPr>
            <w:tcW w:w="2437"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95%+</w:t>
            </w:r>
          </w:p>
        </w:tc>
      </w:tr>
      <w:tr>
        <w:trPr/>
        <w:tc>
          <w:tcPr>
            <w:tcW w:w="1939"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Capacity at -30°C</w:t>
            </w:r>
          </w:p>
        </w:tc>
        <w:tc>
          <w:tcPr>
            <w:tcW w:w="2710"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70%</w:t>
            </w:r>
          </w:p>
        </w:tc>
        <w:tc>
          <w:tcPr>
            <w:tcW w:w="2878"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&gt;95% charge retention</w:t>
            </w:r>
          </w:p>
        </w:tc>
        <w:tc>
          <w:tcPr>
            <w:tcW w:w="2437"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95%+</w:t>
            </w:r>
          </w:p>
        </w:tc>
      </w:tr>
      <w:tr>
        <w:trPr/>
        <w:tc>
          <w:tcPr>
            <w:tcW w:w="1939"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Capacity at -40°C</w:t>
            </w:r>
          </w:p>
        </w:tc>
        <w:tc>
          <w:tcPr>
            <w:tcW w:w="2710"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55%</w:t>
            </w:r>
          </w:p>
        </w:tc>
        <w:tc>
          <w:tcPr>
            <w:tcW w:w="2878"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(Not stated)</w:t>
            </w:r>
          </w:p>
        </w:tc>
        <w:tc>
          <w:tcPr>
            <w:tcW w:w="2437"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N/A</w:t>
            </w:r>
          </w:p>
        </w:tc>
      </w:tr>
      <w:tr>
        <w:trPr/>
        <w:tc>
          <w:tcPr>
            <w:tcW w:w="1939" w:type="dxa"/>
            <w:tcBorders>
              <w:left w:val="single" w:sz="2" w:space="0" w:color="EAE7E4"/>
            </w:tcBorders>
            <w:shd w:fill="F8FAFC" w:val="clear"/>
            <w:tcMar>
              <w:bottom w:w="0" w:type="dxa"/>
            </w:tcMar>
            <w:vAlign w:val="center"/>
          </w:tcPr>
          <w:p>
            <w:pPr>
              <w:pStyle w:val="TableContents"/>
              <w:bidi w:val="0"/>
              <w:ind w:left="0" w:right="0" w:hanging="0"/>
              <w:jc w:val="left"/>
              <w:rPr/>
            </w:pPr>
            <w:r>
              <w:rPr>
                <w:rStyle w:val="StrongEmphasis"/>
                <w:b/>
                <w:color w:val="0C0C14"/>
              </w:rPr>
              <w:t>Charging limit</w:t>
            </w:r>
          </w:p>
        </w:tc>
        <w:tc>
          <w:tcPr>
            <w:tcW w:w="2710" w:type="dxa"/>
            <w:tcBorders>
              <w:left w:val="single" w:sz="2" w:space="0" w:color="EAE7E4"/>
            </w:tcBorders>
            <w:shd w:fill="F8FAFC" w:val="clear"/>
            <w:tcMar>
              <w:bottom w:w="0" w:type="dxa"/>
            </w:tcMar>
            <w:vAlign w:val="center"/>
          </w:tcPr>
          <w:p>
            <w:pPr>
              <w:pStyle w:val="TableContents"/>
              <w:bidi w:val="0"/>
              <w:ind w:left="0" w:right="0" w:hanging="0"/>
              <w:jc w:val="left"/>
              <w:rPr>
                <w:color w:val="0C0C14"/>
              </w:rPr>
            </w:pPr>
            <w:r>
              <w:rPr>
                <w:color w:val="0C0C14"/>
              </w:rPr>
              <w:t>-20°C</w:t>
            </w:r>
          </w:p>
        </w:tc>
        <w:tc>
          <w:tcPr>
            <w:tcW w:w="2878" w:type="dxa"/>
            <w:tcBorders>
              <w:left w:val="single" w:sz="2" w:space="0" w:color="EAE7E4"/>
            </w:tcBorders>
            <w:shd w:fill="F8FAFC" w:val="clear"/>
            <w:tcMar>
              <w:bottom w:w="0" w:type="dxa"/>
            </w:tcMar>
            <w:vAlign w:val="center"/>
          </w:tcPr>
          <w:p>
            <w:pPr>
              <w:pStyle w:val="TableContents"/>
              <w:bidi w:val="0"/>
              <w:ind w:left="0" w:right="0" w:hanging="0"/>
              <w:jc w:val="left"/>
              <w:rPr>
                <w:color w:val="0C0C14"/>
              </w:rPr>
            </w:pPr>
            <w:r>
              <w:rPr>
                <w:color w:val="0C0C14"/>
              </w:rPr>
              <w:t>-30°C</w:t>
            </w:r>
          </w:p>
        </w:tc>
        <w:tc>
          <w:tcPr>
            <w:tcW w:w="2437" w:type="dxa"/>
            <w:tcBorders/>
            <w:shd w:fill="F8FAFC" w:val="clear"/>
            <w:tcMar>
              <w:left w:w="0" w:type="dxa"/>
              <w:bottom w:w="0" w:type="dxa"/>
            </w:tcMar>
            <w:vAlign w:val="center"/>
          </w:tcPr>
          <w:p>
            <w:pPr>
              <w:pStyle w:val="TableContents"/>
              <w:bidi w:val="0"/>
              <w:jc w:val="left"/>
              <w:rPr>
                <w:color w:val="0C0C14"/>
              </w:rPr>
            </w:pPr>
            <w:r>
              <w:rPr>
                <w:color w:val="0C0C14"/>
              </w:rPr>
              <w:t>-30°C</w:t>
            </w:r>
          </w:p>
        </w:tc>
      </w:tr>
    </w:tbl>
    <w:p>
      <w:pPr>
        <w:pStyle w:val="TextBody"/>
        <w:bidi w:val="0"/>
        <w:spacing w:lineRule="auto" w:line="276" w:before="0" w:after="140"/>
        <w:jc w:val="left"/>
        <w:rPr/>
      </w:pPr>
      <w:r>
        <w:rPr/>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EarthX states:</w:t>
      </w:r>
      <w:r>
        <w:rPr>
          <w:rFonts w:ascii="Inter;system-ui;sans-serif" w:hAnsi="Inter;system-ui;sans-serif"/>
          <w:b w:val="false"/>
          <w:i/>
          <w:color w:val="24292E"/>
          <w:spacing w:val="0"/>
          <w:sz w:val="17"/>
        </w:rPr>
        <w:t xml:space="preserve"> "</w:t>
      </w:r>
      <w:r>
        <w:rPr>
          <w:rStyle w:val="Emphasis"/>
          <w:rFonts w:ascii="Inter;system-ui;sans-serif" w:hAnsi="Inter;system-ui;sans-serif"/>
          <w:b w:val="false"/>
          <w:i/>
          <w:color w:val="24292E"/>
          <w:spacing w:val="0"/>
          <w:sz w:val="17"/>
        </w:rPr>
        <w:t>Low temperature electrolytes... allows &gt;95% charge retention down to −30°C.</w:t>
      </w:r>
      <w:r>
        <w:rPr>
          <w:rFonts w:ascii="Inter;system-ui;sans-serif" w:hAnsi="Inter;system-ui;sans-serif"/>
          <w:b w:val="false"/>
          <w:i/>
          <w:color w:val="24292E"/>
          <w:spacing w:val="0"/>
          <w:sz w:val="17"/>
        </w:rPr>
        <w:t xml:space="preserve">" That phrase—"charge retention"—usually refers to self-discharge during storage. But for an engine starter, the question is </w:t>
      </w:r>
      <w:r>
        <w:rPr>
          <w:rStyle w:val="StrongEmphasis"/>
          <w:rFonts w:ascii="Inter;system-ui;sans-serif" w:hAnsi="Inter;system-ui;sans-serif"/>
          <w:b/>
          <w:i/>
          <w:color w:val="24292E"/>
          <w:spacing w:val="0"/>
          <w:sz w:val="17"/>
        </w:rPr>
        <w:t>discharge capacity</w:t>
      </w:r>
      <w:r>
        <w:rPr>
          <w:rFonts w:ascii="Inter;system-ui;sans-serif" w:hAnsi="Inter;system-ui;sans-serif"/>
          <w:b w:val="false"/>
          <w:i/>
          <w:color w:val="24292E"/>
          <w:spacing w:val="0"/>
          <w:sz w:val="17"/>
        </w:rPr>
        <w:t>: how much power the battery can actually deliver under load in cold weather.</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LFP industry data</w:t>
      </w:r>
      <w:r>
        <w:rPr>
          <w:rFonts w:ascii="Inter;system-ui;sans-serif" w:hAnsi="Inter;system-ui;sans-serif"/>
          <w:b w:val="false"/>
          <w:i/>
          <w:color w:val="24292E"/>
          <w:spacing w:val="0"/>
          <w:sz w:val="17"/>
        </w:rPr>
        <w:t xml:space="preserve"> (including specialty low-temperature cells):</w:t>
      </w:r>
    </w:p>
    <w:p>
      <w:pPr>
        <w:pStyle w:val="TextBody"/>
        <w:widowControl/>
        <w:numPr>
          <w:ilvl w:val="0"/>
          <w:numId w:val="3"/>
        </w:numPr>
        <w:pBdr/>
        <w:tabs>
          <w:tab w:val="clear" w:pos="709"/>
          <w:tab w:val="left" w:pos="0" w:leader="none"/>
        </w:tabs>
        <w:bidi w:val="0"/>
        <w:spacing w:lineRule="auto" w:line="360" w:before="0" w:after="0"/>
        <w:ind w:left="0" w:right="0" w:hanging="0"/>
        <w:jc w:val="left"/>
        <w:rPr/>
      </w:pPr>
      <w:r>
        <w:rPr>
          <w:rStyle w:val="StrongEmphasis"/>
          <w:rFonts w:ascii="Inter;system-ui;sans-serif" w:hAnsi="Inter;system-ui;sans-serif"/>
          <w:b/>
          <w:i/>
          <w:color w:val="24292E"/>
          <w:spacing w:val="0"/>
          <w:sz w:val="17"/>
        </w:rPr>
        <w:t>Grepow</w:t>
      </w:r>
      <w:r>
        <w:rPr>
          <w:rFonts w:ascii="Inter;system-ui;sans-serif" w:hAnsi="Inter;system-ui;sans-serif"/>
          <w:b w:val="false"/>
          <w:i/>
          <w:color w:val="24292E"/>
          <w:spacing w:val="0"/>
          <w:sz w:val="17"/>
        </w:rPr>
        <w:t xml:space="preserve"> (low-temp LFP cell maker): 70% discharge capacity at −30°C, 55% at −40°C</w:t>
      </w:r>
    </w:p>
    <w:p>
      <w:pPr>
        <w:pStyle w:val="TextBody"/>
        <w:widowControl/>
        <w:numPr>
          <w:ilvl w:val="0"/>
          <w:numId w:val="3"/>
        </w:numPr>
        <w:pBdr/>
        <w:tabs>
          <w:tab w:val="clear" w:pos="709"/>
          <w:tab w:val="left" w:pos="0" w:leader="none"/>
        </w:tabs>
        <w:bidi w:val="0"/>
        <w:spacing w:lineRule="auto" w:line="360" w:before="0" w:after="0"/>
        <w:ind w:left="0" w:right="0" w:hanging="0"/>
        <w:jc w:val="left"/>
        <w:rPr/>
      </w:pPr>
      <w:r>
        <w:rPr>
          <w:rStyle w:val="StrongEmphasis"/>
          <w:rFonts w:ascii="Inter;system-ui;sans-serif" w:hAnsi="Inter;system-ui;sans-serif"/>
          <w:b/>
          <w:i/>
          <w:color w:val="24292E"/>
          <w:spacing w:val="0"/>
          <w:sz w:val="17"/>
        </w:rPr>
        <w:t>Standard LFP</w:t>
      </w:r>
      <w:r>
        <w:rPr>
          <w:rFonts w:ascii="Inter;system-ui;sans-serif" w:hAnsi="Inter;system-ui;sans-serif"/>
          <w:b w:val="false"/>
          <w:i/>
          <w:color w:val="24292E"/>
          <w:spacing w:val="0"/>
          <w:sz w:val="17"/>
        </w:rPr>
        <w:t>: Industry studies show 30-50% capacity loss at −30°C depending on discharge profile</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Meanwhile, the plating problem</w:t>
      </w:r>
      <w:r>
        <w:rPr>
          <w:rFonts w:ascii="Inter;system-ui;sans-serif" w:hAnsi="Inter;system-ui;sans-serif"/>
          <w:b w:val="false"/>
          <w:i/>
          <w:color w:val="24292E"/>
          <w:spacing w:val="0"/>
          <w:sz w:val="17"/>
        </w:rPr>
        <w:t xml:space="preserve"> that LFP vendors describe but minimize is real. EarthX's own fact sheet correctly explains: "at low temperatures... lithium-ion cathode material is deposited on the surface of the anode (a process called plating)." That's exactly the failure mode the battery industry cites as the reason LFP shouldn't be charged below 0°C. Then they argue "it can and will charge below 32°F" without explaining how the plating becomes harmless.</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And here's the workaround:</w:t>
      </w:r>
      <w:r>
        <w:rPr>
          <w:rFonts w:ascii="Inter;system-ui;sans-serif" w:hAnsi="Inter;system-ui;sans-serif"/>
          <w:b w:val="false"/>
          <w:i/>
          <w:color w:val="24292E"/>
          <w:spacing w:val="0"/>
          <w:sz w:val="17"/>
        </w:rPr>
        <w:t xml:space="preserve"> EarthX argues that cranking warms the battery by 10°C before charging begins. That's an elegant admission that the battery </w:t>
      </w:r>
      <w:r>
        <w:rPr>
          <w:rStyle w:val="Emphasis"/>
          <w:rFonts w:ascii="Inter;system-ui;sans-serif" w:hAnsi="Inter;system-ui;sans-serif"/>
          <w:b w:val="false"/>
          <w:i/>
          <w:color w:val="24292E"/>
          <w:spacing w:val="0"/>
          <w:sz w:val="17"/>
        </w:rPr>
        <w:t>needs</w:t>
      </w:r>
      <w:r>
        <w:rPr>
          <w:rFonts w:ascii="Inter;system-ui;sans-serif" w:hAnsi="Inter;system-ui;sans-serif"/>
          <w:b w:val="false"/>
          <w:i/>
          <w:color w:val="24292E"/>
          <w:spacing w:val="0"/>
          <w:sz w:val="17"/>
        </w:rPr>
        <w:t xml:space="preserve"> to be warmer before it safely accepts charge. But that only works on a first successful start—what about a cold-soaked restart after a failed attempt?</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Sodium-ion chemistry doesn't share this failure mode.</w:t>
      </w:r>
      <w:r>
        <w:rPr>
          <w:rFonts w:ascii="Inter;system-ui;sans-serif" w:hAnsi="Inter;system-ui;sans-serif"/>
          <w:b w:val="false"/>
          <w:i/>
          <w:color w:val="24292E"/>
          <w:spacing w:val="0"/>
          <w:sz w:val="17"/>
        </w:rPr>
        <w:t xml:space="preserve"> CATL (world's largest battery maker) reports sodium-ion cells retain </w:t>
      </w:r>
      <w:r>
        <w:rPr>
          <w:rStyle w:val="StrongEmphasis"/>
          <w:rFonts w:ascii="Inter;system-ui;sans-serif" w:hAnsi="Inter;system-ui;sans-serif"/>
          <w:b/>
          <w:i/>
          <w:color w:val="24292E"/>
          <w:spacing w:val="0"/>
          <w:sz w:val="17"/>
        </w:rPr>
        <w:t>&gt;90% capacity at -40°C</w:t>
      </w:r>
      <w:r>
        <w:rPr>
          <w:rFonts w:ascii="Inter;system-ui;sans-serif" w:hAnsi="Inter;system-ui;sans-serif"/>
          <w:b w:val="false"/>
          <w:i/>
          <w:color w:val="24292E"/>
          <w:spacing w:val="0"/>
          <w:sz w:val="17"/>
        </w:rPr>
        <w:t xml:space="preserve">. HiNa Battery reports </w:t>
      </w:r>
      <w:r>
        <w:rPr>
          <w:rStyle w:val="StrongEmphasis"/>
          <w:rFonts w:ascii="Inter;system-ui;sans-serif" w:hAnsi="Inter;system-ui;sans-serif"/>
          <w:b/>
          <w:i/>
          <w:color w:val="24292E"/>
          <w:spacing w:val="0"/>
          <w:sz w:val="17"/>
        </w:rPr>
        <w:t>&gt;92% at -20°C</w:t>
      </w:r>
      <w:r>
        <w:rPr>
          <w:rFonts w:ascii="Inter;system-ui;sans-serif" w:hAnsi="Inter;system-ui;sans-serif"/>
          <w:b w:val="false"/>
          <w:i/>
          <w:color w:val="24292E"/>
          <w:spacing w:val="0"/>
          <w:sz w:val="17"/>
        </w:rPr>
        <w:t>. And critically, sodium cells can accept charge at those temperatures without plating risk because sodium diffusion into hard carbon remains functional where lithium intercalation into graphite stalls.</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Question for LFP vendors:</w:t>
      </w:r>
      <w:r>
        <w:rPr>
          <w:rFonts w:ascii="Inter;system-ui;sans-serif" w:hAnsi="Inter;system-ui;sans-serif"/>
          <w:b w:val="false"/>
          <w:i/>
          <w:color w:val="24292E"/>
          <w:spacing w:val="0"/>
          <w:sz w:val="17"/>
        </w:rPr>
        <w:t xml:space="preserve"> If cold weather doesn't reduce discharge capacity, why does the cell data show 30% loss at -30°C? And if "charge retention" is the right metric for winter flying, why doesn't anyone ask "retention of what" before buying a starter battery?</w:t>
      </w:r>
    </w:p>
    <w:p>
      <w:pPr>
        <w:pStyle w:val="TextBody"/>
        <w:bidi w:val="0"/>
        <w:spacing w:lineRule="auto" w:line="276" w:before="0" w:after="140"/>
        <w:jc w:val="left"/>
        <w:rPr/>
      </w:pPr>
      <w:r>
        <w:rPr/>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EarthX Cold Weather Claims Don't Match Their Cell Supplier's Data</w:t>
      </w:r>
    </w:p>
    <w:p>
      <w:pPr>
        <w:pStyle w:val="TextBody"/>
        <w:widowControl/>
        <w:bidi w:val="0"/>
        <w:spacing w:lineRule="auto" w:line="360" w:before="0" w:after="0"/>
        <w:ind w:left="0" w:right="0" w:hanging="0"/>
        <w:jc w:val="left"/>
        <w:rPr>
          <w:rFonts w:ascii="Inter;system-ui;sans-serif" w:hAnsi="Inter;system-ui;sans-serif"/>
          <w:b w:val="false"/>
          <w:i/>
          <w:color w:val="24292E"/>
          <w:spacing w:val="0"/>
          <w:sz w:val="17"/>
        </w:rPr>
      </w:pPr>
      <w:r>
        <w:rPr>
          <w:rFonts w:ascii="Inter;system-ui;sans-serif" w:hAnsi="Inter;system-ui;sans-serif"/>
          <w:b w:val="false"/>
          <w:i/>
          <w:color w:val="24292E"/>
          <w:spacing w:val="0"/>
          <w:sz w:val="17"/>
        </w:rPr>
        <w:t>Let's start with what's documented, not speculated:</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The supply chain:</w:t>
      </w:r>
      <w:r>
        <w:rPr>
          <w:rFonts w:ascii="Inter;system-ui;sans-serif" w:hAnsi="Inter;system-ui;sans-serif"/>
          <w:b w:val="false"/>
          <w:i/>
          <w:color w:val="24292E"/>
          <w:spacing w:val="0"/>
          <w:sz w:val="17"/>
        </w:rPr>
        <w:t xml:space="preserve"> EarthX receives regular cell shipments from </w:t>
      </w:r>
      <w:r>
        <w:rPr>
          <w:rStyle w:val="StrongEmphasis"/>
          <w:rFonts w:ascii="Inter;system-ui;sans-serif" w:hAnsi="Inter;system-ui;sans-serif"/>
          <w:b/>
          <w:i/>
          <w:color w:val="24292E"/>
          <w:spacing w:val="0"/>
          <w:sz w:val="17"/>
        </w:rPr>
        <w:t>Shenzhen Grepow Battery Co., Ltd.</w:t>
      </w:r>
      <w:r>
        <w:rPr>
          <w:rFonts w:ascii="Inter;system-ui;sans-serif" w:hAnsi="Inter;system-ui;sans-serif"/>
          <w:b w:val="false"/>
          <w:i/>
          <w:color w:val="24292E"/>
          <w:spacing w:val="0"/>
          <w:sz w:val="17"/>
        </w:rPr>
        <w:t xml:space="preserve"> (visible in Import Genius import records, with shipments in April 2024 through March 2025 totaling 20,000+ kg of lithium/lithium polymer batteries). I've also physically dissected an EarthX battery and showed it to a Grepow representative who confirmed it was their product.</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What EarthX claims:</w:t>
      </w:r>
      <w:r>
        <w:rPr>
          <w:rFonts w:ascii="Inter;system-ui;sans-serif" w:hAnsi="Inter;system-ui;sans-serif"/>
          <w:b w:val="false"/>
          <w:i/>
          <w:color w:val="24292E"/>
          <w:spacing w:val="0"/>
          <w:sz w:val="17"/>
        </w:rPr>
        <w:t xml:space="preserve"> "</w:t>
      </w:r>
      <w:r>
        <w:rPr>
          <w:rStyle w:val="Emphasis"/>
          <w:rFonts w:ascii="Inter;system-ui;sans-serif" w:hAnsi="Inter;system-ui;sans-serif"/>
          <w:b w:val="false"/>
          <w:i/>
          <w:color w:val="24292E"/>
          <w:spacing w:val="0"/>
          <w:sz w:val="17"/>
        </w:rPr>
        <w:t>Low temperature electrolytes... allows &gt;95% charge retention down to −30°C.</w:t>
      </w:r>
      <w:r>
        <w:rPr>
          <w:rFonts w:ascii="Inter;system-ui;sans-serif" w:hAnsi="Inter;system-ui;sans-serif"/>
          <w:b w:val="false"/>
          <w:i/>
          <w:color w:val="24292E"/>
          <w:spacing w:val="0"/>
          <w:sz w:val="17"/>
        </w:rPr>
        <w:t>"</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What Grepow actually publishes</w:t>
      </w:r>
      <w:r>
        <w:rPr>
          <w:rFonts w:ascii="Inter;system-ui;sans-serif" w:hAnsi="Inter;system-ui;sans-serif"/>
          <w:b w:val="false"/>
          <w:i/>
          <w:color w:val="24292E"/>
          <w:spacing w:val="0"/>
          <w:sz w:val="17"/>
        </w:rPr>
        <w:t xml:space="preserve"> for their low-temperature LFP cells:</w:t>
      </w:r>
    </w:p>
    <w:p>
      <w:pPr>
        <w:pStyle w:val="TextBody"/>
        <w:widowControl/>
        <w:numPr>
          <w:ilvl w:val="0"/>
          <w:numId w:val="4"/>
        </w:numPr>
        <w:pBdr/>
        <w:tabs>
          <w:tab w:val="clear" w:pos="709"/>
          <w:tab w:val="left" w:pos="0" w:leader="none"/>
        </w:tabs>
        <w:bidi w:val="0"/>
        <w:spacing w:lineRule="auto" w:line="360" w:before="0" w:after="0"/>
        <w:ind w:left="0" w:right="0" w:hanging="0"/>
        <w:jc w:val="left"/>
        <w:rPr/>
      </w:pPr>
      <w:r>
        <w:rPr>
          <w:rStyle w:val="StrongEmphasis"/>
          <w:rFonts w:ascii="Inter;system-ui;sans-serif" w:hAnsi="Inter;system-ui;sans-serif"/>
          <w:b/>
          <w:i/>
          <w:color w:val="24292E"/>
          <w:spacing w:val="0"/>
          <w:sz w:val="17"/>
        </w:rPr>
        <w:t>70% discharge capacity at −30°C</w:t>
      </w:r>
      <w:r>
        <w:rPr>
          <w:rFonts w:ascii="Inter;system-ui;sans-serif" w:hAnsi="Inter;system-ui;sans-serif"/>
          <w:b w:val="false"/>
          <w:i/>
          <w:color w:val="24292E"/>
          <w:spacing w:val="0"/>
          <w:sz w:val="17"/>
        </w:rPr>
        <w:t xml:space="preserve"> (not 95%)</w:t>
      </w:r>
    </w:p>
    <w:p>
      <w:pPr>
        <w:pStyle w:val="TextBody"/>
        <w:widowControl/>
        <w:numPr>
          <w:ilvl w:val="0"/>
          <w:numId w:val="4"/>
        </w:numPr>
        <w:pBdr/>
        <w:tabs>
          <w:tab w:val="clear" w:pos="709"/>
          <w:tab w:val="left" w:pos="0" w:leader="none"/>
        </w:tabs>
        <w:bidi w:val="0"/>
        <w:spacing w:lineRule="auto" w:line="360" w:before="0" w:after="0"/>
        <w:ind w:left="0" w:right="0" w:hanging="0"/>
        <w:jc w:val="left"/>
        <w:rPr/>
      </w:pPr>
      <w:r>
        <w:rPr>
          <w:rStyle w:val="StrongEmphasis"/>
          <w:rFonts w:ascii="Inter;system-ui;sans-serif" w:hAnsi="Inter;system-ui;sans-serif"/>
          <w:b/>
          <w:i/>
          <w:color w:val="24292E"/>
          <w:spacing w:val="0"/>
          <w:sz w:val="17"/>
        </w:rPr>
        <w:t>55% capacity at −40°C</w:t>
      </w:r>
    </w:p>
    <w:p>
      <w:pPr>
        <w:pStyle w:val="TextBody"/>
        <w:widowControl/>
        <w:numPr>
          <w:ilvl w:val="0"/>
          <w:numId w:val="4"/>
        </w:numPr>
        <w:pBdr/>
        <w:tabs>
          <w:tab w:val="clear" w:pos="709"/>
          <w:tab w:val="left" w:pos="0" w:leader="none"/>
        </w:tabs>
        <w:bidi w:val="0"/>
        <w:spacing w:lineRule="auto" w:line="360" w:before="0" w:after="0"/>
        <w:ind w:left="0" w:right="0" w:hanging="0"/>
        <w:jc w:val="left"/>
        <w:rPr/>
      </w:pPr>
      <w:r>
        <w:rPr>
          <w:rStyle w:val="StrongEmphasis"/>
          <w:rFonts w:ascii="Inter;system-ui;sans-serif" w:hAnsi="Inter;system-ui;sans-serif"/>
          <w:b/>
          <w:i/>
          <w:color w:val="24292E"/>
          <w:spacing w:val="0"/>
          <w:sz w:val="17"/>
        </w:rPr>
        <w:t>Charging claimed only to −20°C</w:t>
      </w:r>
      <w:r>
        <w:rPr>
          <w:rFonts w:ascii="Inter;system-ui;sans-serif" w:hAnsi="Inter;system-ui;sans-serif"/>
          <w:b w:val="false"/>
          <w:i/>
          <w:color w:val="24292E"/>
          <w:spacing w:val="0"/>
          <w:sz w:val="17"/>
        </w:rPr>
        <w:t xml:space="preserve"> (not −30°C)</w:t>
      </w:r>
    </w:p>
    <w:p>
      <w:pPr>
        <w:pStyle w:val="TextBody"/>
        <w:widowControl/>
        <w:bidi w:val="0"/>
        <w:spacing w:lineRule="auto" w:line="360" w:before="0" w:after="0"/>
        <w:ind w:left="0" w:right="0" w:hanging="0"/>
        <w:jc w:val="left"/>
        <w:rPr/>
      </w:pPr>
      <w:r>
        <w:rPr>
          <w:rFonts w:ascii="Inter;system-ui;sans-serif" w:hAnsi="Inter;system-ui;sans-serif"/>
          <w:b w:val="false"/>
          <w:i/>
          <w:color w:val="24292E"/>
          <w:spacing w:val="0"/>
          <w:sz w:val="17"/>
        </w:rPr>
        <w:t>Note the discrepancy. EarthX says "</w:t>
      </w:r>
      <w:r>
        <w:rPr>
          <w:rStyle w:val="StrongEmphasis"/>
          <w:rFonts w:ascii="Inter;system-ui;sans-serif" w:hAnsi="Inter;system-ui;sans-serif"/>
          <w:b/>
          <w:i/>
          <w:color w:val="24292E"/>
          <w:spacing w:val="0"/>
          <w:sz w:val="17"/>
        </w:rPr>
        <w:t>95% charge retention</w:t>
      </w:r>
      <w:r>
        <w:rPr>
          <w:rFonts w:ascii="Inter;system-ui;sans-serif" w:hAnsi="Inter;system-ui;sans-serif"/>
          <w:b w:val="false"/>
          <w:i/>
          <w:color w:val="24292E"/>
          <w:spacing w:val="0"/>
          <w:sz w:val="17"/>
        </w:rPr>
        <w:t>" at −30°C. Grepow says "</w:t>
      </w:r>
      <w:r>
        <w:rPr>
          <w:rStyle w:val="StrongEmphasis"/>
          <w:rFonts w:ascii="Inter;system-ui;sans-serif" w:hAnsi="Inter;system-ui;sans-serif"/>
          <w:b/>
          <w:i/>
          <w:color w:val="24292E"/>
          <w:spacing w:val="0"/>
          <w:sz w:val="17"/>
        </w:rPr>
        <w:t>70% discharge capacity</w:t>
      </w:r>
      <w:r>
        <w:rPr>
          <w:rFonts w:ascii="Inter;system-ui;sans-serif" w:hAnsi="Inter;system-ui;sans-serif"/>
          <w:b w:val="false"/>
          <w:i/>
          <w:color w:val="24292E"/>
          <w:spacing w:val="0"/>
          <w:sz w:val="17"/>
        </w:rPr>
        <w:t>" at −30°C. Those are different measurements. "Charge retention" typically refers to self-discharge during storage — not the cranking performance you need for engine starting. And charging below −20°C? Grepow doesn't even claim that.</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The plating problem:</w:t>
      </w:r>
      <w:r>
        <w:rPr>
          <w:rFonts w:ascii="Inter;system-ui;sans-serif" w:hAnsi="Inter;system-ui;sans-serif"/>
          <w:b w:val="false"/>
          <w:i/>
          <w:color w:val="24292E"/>
          <w:spacing w:val="0"/>
          <w:sz w:val="17"/>
        </w:rPr>
        <w:t xml:space="preserve"> EarthX's own cold-weather fact sheet correctly describes the issue: "at low temperatures the lithium-ion intercalation... slows down, thus lithium-ion cathode material is deposited on the surface of the anode (a process called plating)." That's exactly the failure mode the battery industry cites as the reason LFP shouldn't be charged below 0°C. Yet they argue "it can and will charge below 32°F" without explaining how the plating becomes harmless.</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And here's the workaround:</w:t>
      </w:r>
      <w:r>
        <w:rPr>
          <w:rFonts w:ascii="Inter;system-ui;sans-serif" w:hAnsi="Inter;system-ui;sans-serif"/>
          <w:b w:val="false"/>
          <w:i/>
          <w:color w:val="24292E"/>
          <w:spacing w:val="0"/>
          <w:sz w:val="17"/>
        </w:rPr>
        <w:t xml:space="preserve"> EarthX argues that cranking warms the battery by 10°C before charging begins. That's an elegant admission that the battery </w:t>
      </w:r>
      <w:r>
        <w:rPr>
          <w:rStyle w:val="Emphasis"/>
          <w:rFonts w:ascii="Inter;system-ui;sans-serif" w:hAnsi="Inter;system-ui;sans-serif"/>
          <w:b w:val="false"/>
          <w:i/>
          <w:color w:val="24292E"/>
          <w:spacing w:val="0"/>
          <w:sz w:val="17"/>
        </w:rPr>
        <w:t>needs</w:t>
      </w:r>
      <w:r>
        <w:rPr>
          <w:rFonts w:ascii="Inter;system-ui;sans-serif" w:hAnsi="Inter;system-ui;sans-serif"/>
          <w:b w:val="false"/>
          <w:i/>
          <w:color w:val="24292E"/>
          <w:spacing w:val="0"/>
          <w:sz w:val="17"/>
        </w:rPr>
        <w:t xml:space="preserve"> to be warmer before it safely accepts charge. But that only works on a first successful start — what about a cold-soaked restart after a failed attempt?</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17"/>
        </w:rPr>
        <w:t>Sodium-ion chemistry doesn't share this failure mode.</w:t>
      </w:r>
      <w:r>
        <w:rPr>
          <w:rFonts w:ascii="Inter;system-ui;sans-serif" w:hAnsi="Inter;system-ui;sans-serif"/>
          <w:b w:val="false"/>
          <w:i/>
          <w:color w:val="24292E"/>
          <w:spacing w:val="0"/>
          <w:sz w:val="17"/>
        </w:rPr>
        <w:t xml:space="preserve"> CATL (world's largest battery maker) reports sodium-ion cells retain </w:t>
      </w:r>
      <w:r>
        <w:rPr>
          <w:rStyle w:val="StrongEmphasis"/>
          <w:rFonts w:ascii="Inter;system-ui;sans-serif" w:hAnsi="Inter;system-ui;sans-serif"/>
          <w:b/>
          <w:i/>
          <w:color w:val="24292E"/>
          <w:spacing w:val="0"/>
          <w:sz w:val="17"/>
        </w:rPr>
        <w:t>&gt;90% capacity at -40°C</w:t>
      </w:r>
      <w:r>
        <w:rPr>
          <w:rFonts w:ascii="Inter;system-ui;sans-serif" w:hAnsi="Inter;system-ui;sans-serif"/>
          <w:b w:val="false"/>
          <w:i/>
          <w:color w:val="24292E"/>
          <w:spacing w:val="0"/>
          <w:sz w:val="17"/>
        </w:rPr>
        <w:t xml:space="preserve">. HiNa Battery reports </w:t>
      </w:r>
      <w:r>
        <w:rPr>
          <w:rStyle w:val="StrongEmphasis"/>
          <w:rFonts w:ascii="Inter;system-ui;sans-serif" w:hAnsi="Inter;system-ui;sans-serif"/>
          <w:b/>
          <w:i/>
          <w:color w:val="24292E"/>
          <w:spacing w:val="0"/>
          <w:sz w:val="17"/>
        </w:rPr>
        <w:t>&gt;92% at -20°C</w:t>
      </w:r>
      <w:r>
        <w:rPr>
          <w:rFonts w:ascii="Inter;system-ui;sans-serif" w:hAnsi="Inter;system-ui;sans-serif"/>
          <w:b w:val="false"/>
          <w:i/>
          <w:color w:val="24292E"/>
          <w:spacing w:val="0"/>
          <w:sz w:val="17"/>
        </w:rPr>
        <w:t>. And critically, sodium cells can accept charge at those temperatures without plating risk because sodium diffusion into hard carbon remains functional where lithium intercalation into graphite stalls.</w:t>
      </w:r>
    </w:p>
    <w:p>
      <w:pPr>
        <w:pStyle w:val="TextBody"/>
        <w:bidi w:val="0"/>
        <w:spacing w:lineRule="auto" w:line="276" w:before="0" w:after="140"/>
        <w:jc w:val="left"/>
        <w:rPr/>
      </w:pPr>
      <w:r>
        <w:rPr/>
      </w:r>
    </w:p>
    <w:p>
      <w:pPr>
        <w:pStyle w:val="TextBody"/>
        <w:bidi w:val="0"/>
        <w:spacing w:lineRule="auto" w:line="276" w:before="0" w:after="140"/>
        <w:jc w:val="left"/>
        <w:rPr/>
      </w:pPr>
      <w:r>
        <w:rPr/>
      </w:r>
    </w:p>
    <w:tbl>
      <w:tblPr>
        <w:tblW w:w="9972" w:type="dxa"/>
        <w:jc w:val="left"/>
        <w:tblInd w:w="0" w:type="dxa"/>
        <w:shd w:fill="FFFFFF" w:val="clear"/>
        <w:tblLayout w:type="fixed"/>
        <w:tblCellMar>
          <w:top w:w="0" w:type="dxa"/>
          <w:left w:w="28" w:type="dxa"/>
          <w:bottom w:w="28" w:type="dxa"/>
          <w:right w:w="0" w:type="dxa"/>
        </w:tblCellMar>
      </w:tblPr>
      <w:tblGrid>
        <w:gridCol w:w="1758"/>
        <w:gridCol w:w="2042"/>
        <w:gridCol w:w="2749"/>
        <w:gridCol w:w="3423"/>
      </w:tblGrid>
      <w:tr>
        <w:trPr>
          <w:tblHeader w:val="true"/>
        </w:trPr>
        <w:tc>
          <w:tcPr>
            <w:tcW w:w="1758"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Spec</w:t>
            </w:r>
          </w:p>
        </w:tc>
        <w:tc>
          <w:tcPr>
            <w:tcW w:w="2042"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EarthX Marketing</w:t>
            </w:r>
          </w:p>
        </w:tc>
        <w:tc>
          <w:tcPr>
            <w:tcW w:w="2749"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Grepow Actual (Their Own Data)</w:t>
            </w:r>
          </w:p>
        </w:tc>
        <w:tc>
          <w:tcPr>
            <w:tcW w:w="3423"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What It Means for Winter Flying</w:t>
            </w:r>
          </w:p>
        </w:tc>
      </w:tr>
      <w:tr>
        <w:trPr/>
        <w:tc>
          <w:tcPr>
            <w:tcW w:w="1758"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Capacity at -20°C</w:t>
            </w:r>
          </w:p>
        </w:tc>
        <w:tc>
          <w:tcPr>
            <w:tcW w:w="204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Not stated</w:t>
            </w:r>
          </w:p>
        </w:tc>
        <w:tc>
          <w:tcPr>
            <w:tcW w:w="2749"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85%</w:t>
            </w:r>
          </w:p>
        </w:tc>
        <w:tc>
          <w:tcPr>
            <w:tcW w:w="3423"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15% cranking power lost</w:t>
            </w:r>
          </w:p>
        </w:tc>
      </w:tr>
      <w:tr>
        <w:trPr/>
        <w:tc>
          <w:tcPr>
            <w:tcW w:w="1758"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Capacity at -30°C</w:t>
            </w:r>
          </w:p>
        </w:tc>
        <w:tc>
          <w:tcPr>
            <w:tcW w:w="204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"&gt;95% charge retention"</w:t>
            </w:r>
          </w:p>
        </w:tc>
        <w:tc>
          <w:tcPr>
            <w:tcW w:w="2749"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70% capacity</w:t>
            </w:r>
          </w:p>
        </w:tc>
        <w:tc>
          <w:tcPr>
            <w:tcW w:w="3423"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30% cranking power lost</w:t>
            </w:r>
          </w:p>
        </w:tc>
      </w:tr>
      <w:tr>
        <w:trPr/>
        <w:tc>
          <w:tcPr>
            <w:tcW w:w="1758"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Capacity at -40°C</w:t>
            </w:r>
          </w:p>
        </w:tc>
        <w:tc>
          <w:tcPr>
            <w:tcW w:w="204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Not stated</w:t>
            </w:r>
          </w:p>
        </w:tc>
        <w:tc>
          <w:tcPr>
            <w:tcW w:w="2749"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55% capacity</w:t>
            </w:r>
          </w:p>
        </w:tc>
        <w:tc>
          <w:tcPr>
            <w:tcW w:w="3423"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Nearly half power lost</w:t>
            </w:r>
          </w:p>
        </w:tc>
      </w:tr>
      <w:tr>
        <w:trPr/>
        <w:tc>
          <w:tcPr>
            <w:tcW w:w="1758"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Charging limit</w:t>
            </w:r>
          </w:p>
        </w:tc>
        <w:tc>
          <w:tcPr>
            <w:tcW w:w="204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"-30°C"</w:t>
            </w:r>
          </w:p>
        </w:tc>
        <w:tc>
          <w:tcPr>
            <w:tcW w:w="2749"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-20°C only</w:t>
            </w:r>
          </w:p>
        </w:tc>
        <w:tc>
          <w:tcPr>
            <w:tcW w:w="3423"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Charging below -20°C unverified</w:t>
            </w:r>
          </w:p>
        </w:tc>
      </w:tr>
      <w:tr>
        <w:trPr/>
        <w:tc>
          <w:tcPr>
            <w:tcW w:w="1758" w:type="dxa"/>
            <w:tcBorders>
              <w:left w:val="single" w:sz="2" w:space="0" w:color="EAE7E4"/>
            </w:tcBorders>
            <w:shd w:fill="FFFFFF" w:val="clear"/>
            <w:tcMar>
              <w:bottom w:w="0" w:type="dxa"/>
            </w:tcMar>
            <w:vAlign w:val="center"/>
          </w:tcPr>
          <w:p>
            <w:pPr>
              <w:pStyle w:val="TableContents"/>
              <w:bidi w:val="0"/>
              <w:ind w:left="0" w:right="0" w:hanging="0"/>
              <w:jc w:val="left"/>
              <w:rPr/>
            </w:pPr>
            <w:r>
              <w:rPr>
                <w:rStyle w:val="StrongEmphasis"/>
                <w:b/>
                <w:color w:val="0C0C14"/>
              </w:rPr>
              <w:t>Terminology</w:t>
            </w:r>
          </w:p>
        </w:tc>
        <w:tc>
          <w:tcPr>
            <w:tcW w:w="2042" w:type="dxa"/>
            <w:tcBorders>
              <w:left w:val="single" w:sz="2" w:space="0" w:color="EAE7E4"/>
            </w:tcBorders>
            <w:shd w:fill="FFFFFF" w:val="clear"/>
            <w:tcMar>
              <w:bottom w:w="0" w:type="dxa"/>
            </w:tcMar>
            <w:vAlign w:val="center"/>
          </w:tcPr>
          <w:p>
            <w:pPr>
              <w:pStyle w:val="TableContents"/>
              <w:bidi w:val="0"/>
              <w:ind w:left="0" w:right="0" w:hanging="0"/>
              <w:jc w:val="left"/>
              <w:rPr>
                <w:color w:val="0C0C14"/>
              </w:rPr>
            </w:pPr>
            <w:r>
              <w:rPr>
                <w:color w:val="0C0C14"/>
              </w:rPr>
              <w:t>"Charge retention"</w:t>
            </w:r>
          </w:p>
        </w:tc>
        <w:tc>
          <w:tcPr>
            <w:tcW w:w="2749" w:type="dxa"/>
            <w:tcBorders>
              <w:left w:val="single" w:sz="2" w:space="0" w:color="EAE7E4"/>
            </w:tcBorders>
            <w:shd w:fill="FFFFFF" w:val="clear"/>
            <w:tcMar>
              <w:bottom w:w="0" w:type="dxa"/>
            </w:tcMar>
            <w:vAlign w:val="center"/>
          </w:tcPr>
          <w:p>
            <w:pPr>
              <w:pStyle w:val="TableContents"/>
              <w:bidi w:val="0"/>
              <w:ind w:left="0" w:right="0" w:hanging="0"/>
              <w:jc w:val="left"/>
              <w:rPr>
                <w:color w:val="0C0C14"/>
              </w:rPr>
            </w:pPr>
            <w:r>
              <w:rPr>
                <w:color w:val="0C0C14"/>
              </w:rPr>
              <w:t>"Discharge capacity"</w:t>
            </w:r>
          </w:p>
        </w:tc>
        <w:tc>
          <w:tcPr>
            <w:tcW w:w="3423" w:type="dxa"/>
            <w:tcBorders/>
            <w:shd w:fill="FFFFFF" w:val="clear"/>
            <w:tcMar>
              <w:left w:w="0" w:type="dxa"/>
              <w:bottom w:w="0" w:type="dxa"/>
            </w:tcMar>
            <w:vAlign w:val="center"/>
          </w:tcPr>
          <w:p>
            <w:pPr>
              <w:pStyle w:val="TableContents"/>
              <w:bidi w:val="0"/>
              <w:jc w:val="left"/>
              <w:rPr>
                <w:color w:val="0C0C14"/>
              </w:rPr>
            </w:pPr>
            <w:r>
              <w:rPr>
                <w:color w:val="0C0C14"/>
              </w:rPr>
              <w:t>Different measurements, different meanings</w:t>
            </w:r>
          </w:p>
        </w:tc>
      </w:tr>
    </w:tbl>
    <w:p>
      <w:pPr>
        <w:pStyle w:val="HorizontalLine"/>
        <w:suppressLineNumbers/>
        <w:pBdr>
          <w:bottom w:val="double" w:sz="2" w:space="0" w:color="808080"/>
        </w:pBdr>
        <w:bidi w:val="0"/>
        <w:spacing w:before="0" w:after="283"/>
        <w:jc w:val="left"/>
        <w:rPr/>
      </w:pPr>
      <w:r>
        <w:rPr/>
      </w:r>
    </w:p>
    <w:p>
      <w:pPr>
        <w:pStyle w:val="Heading2"/>
        <w:widowControl/>
        <w:bidi w:val="0"/>
        <w:spacing w:lineRule="auto" w:line="312" w:before="0" w:after="0"/>
        <w:ind w:left="0" w:right="0" w:hanging="0"/>
        <w:jc w:val="left"/>
        <w:rPr>
          <w:rFonts w:ascii="Inter;system-ui;sans-serif" w:hAnsi="Inter;system-ui;sans-serif"/>
          <w:b w:val="false"/>
          <w:i w:val="false"/>
          <w:caps w:val="false"/>
          <w:smallCaps w:val="false"/>
          <w:color w:val="24292E"/>
          <w:spacing w:val="0"/>
        </w:rPr>
      </w:pPr>
      <w:r>
        <w:rPr>
          <w:rFonts w:ascii="Inter;system-ui;sans-serif" w:hAnsi="Inter;system-ui;sans-serif"/>
          <w:b w:val="false"/>
          <w:i w:val="false"/>
          <w:caps w:val="false"/>
          <w:smallCaps w:val="false"/>
          <w:color w:val="24292E"/>
          <w:spacing w:val="0"/>
        </w:rPr>
        <w:t>Strength of This Argument</w:t>
      </w:r>
    </w:p>
    <w:tbl>
      <w:tblPr>
        <w:tblW w:w="9450" w:type="dxa"/>
        <w:jc w:val="left"/>
        <w:tblInd w:w="0" w:type="dxa"/>
        <w:shd w:fill="FFFFFF" w:val="clear"/>
        <w:tblLayout w:type="fixed"/>
        <w:tblCellMar>
          <w:top w:w="0" w:type="dxa"/>
          <w:left w:w="28" w:type="dxa"/>
          <w:bottom w:w="28" w:type="dxa"/>
          <w:right w:w="0" w:type="dxa"/>
        </w:tblCellMar>
      </w:tblPr>
      <w:tblGrid>
        <w:gridCol w:w="3059"/>
        <w:gridCol w:w="6391"/>
      </w:tblGrid>
      <w:tr>
        <w:trPr>
          <w:tblHeader w:val="true"/>
        </w:trPr>
        <w:tc>
          <w:tcPr>
            <w:tcW w:w="3059"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Element</w:t>
            </w:r>
          </w:p>
        </w:tc>
        <w:tc>
          <w:tcPr>
            <w:tcW w:w="6391"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Why It Matters</w:t>
            </w:r>
          </w:p>
        </w:tc>
      </w:tr>
      <w:tr>
        <w:trPr/>
        <w:tc>
          <w:tcPr>
            <w:tcW w:w="3059"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Import records</w:t>
            </w:r>
          </w:p>
        </w:tc>
        <w:tc>
          <w:tcPr>
            <w:tcW w:w="6391"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Publicly verifiable (Import Genius) — can't be denied as hearsay</w:t>
            </w:r>
          </w:p>
        </w:tc>
      </w:tr>
      <w:tr>
        <w:trPr/>
        <w:tc>
          <w:tcPr>
            <w:tcW w:w="3059"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Physical verification</w:t>
            </w:r>
          </w:p>
        </w:tc>
        <w:tc>
          <w:tcPr>
            <w:tcW w:w="6391"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You personally validated the supply chain claim</w:t>
            </w:r>
          </w:p>
        </w:tc>
      </w:tr>
      <w:tr>
        <w:trPr/>
        <w:tc>
          <w:tcPr>
            <w:tcW w:w="3059"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Grepow's own specs</w:t>
            </w:r>
          </w:p>
        </w:tc>
        <w:tc>
          <w:tcPr>
            <w:tcW w:w="6391"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Independent data, not your interpretation</w:t>
            </w:r>
          </w:p>
        </w:tc>
      </w:tr>
      <w:tr>
        <w:trPr/>
        <w:tc>
          <w:tcPr>
            <w:tcW w:w="3059"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EarthX's own contradictions</w:t>
            </w:r>
          </w:p>
        </w:tc>
        <w:tc>
          <w:tcPr>
            <w:tcW w:w="6391"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They describe plating then claim it doesn't matter</w:t>
            </w:r>
          </w:p>
        </w:tc>
      </w:tr>
      <w:tr>
        <w:trPr/>
        <w:tc>
          <w:tcPr>
            <w:tcW w:w="3059" w:type="dxa"/>
            <w:tcBorders>
              <w:left w:val="single" w:sz="2" w:space="0" w:color="EAE7E4"/>
            </w:tcBorders>
            <w:shd w:fill="F8FAFC" w:val="clear"/>
            <w:tcMar>
              <w:bottom w:w="0" w:type="dxa"/>
            </w:tcMar>
            <w:vAlign w:val="center"/>
          </w:tcPr>
          <w:p>
            <w:pPr>
              <w:pStyle w:val="TableContents"/>
              <w:bidi w:val="0"/>
              <w:ind w:left="0" w:right="0" w:hanging="0"/>
              <w:jc w:val="left"/>
              <w:rPr/>
            </w:pPr>
            <w:r>
              <w:rPr>
                <w:rStyle w:val="StrongEmphasis"/>
                <w:b/>
                <w:color w:val="0C0C14"/>
              </w:rPr>
              <w:t>Third-party sodium data</w:t>
            </w:r>
          </w:p>
        </w:tc>
        <w:tc>
          <w:tcPr>
            <w:tcW w:w="6391" w:type="dxa"/>
            <w:tcBorders/>
            <w:shd w:fill="F8FAFC" w:val="clear"/>
            <w:tcMar>
              <w:left w:w="0" w:type="dxa"/>
              <w:bottom w:w="0" w:type="dxa"/>
            </w:tcMar>
            <w:vAlign w:val="center"/>
          </w:tcPr>
          <w:p>
            <w:pPr>
              <w:pStyle w:val="TableContents"/>
              <w:bidi w:val="0"/>
              <w:jc w:val="left"/>
              <w:rPr>
                <w:color w:val="0C0C14"/>
              </w:rPr>
            </w:pPr>
            <w:r>
              <w:rPr>
                <w:color w:val="0C0C14"/>
              </w:rPr>
              <w:t>CATL/HiNa are established manufacturers, not startups</w:t>
            </w:r>
          </w:p>
        </w:tc>
      </w:tr>
    </w:tbl>
    <w:p>
      <w:pPr>
        <w:pStyle w:val="TextBody"/>
        <w:bidi w:val="0"/>
        <w:spacing w:lineRule="auto" w:line="276" w:before="0" w:after="140"/>
        <w:jc w:val="left"/>
        <w:rPr/>
      </w:pPr>
      <w:r>
        <w:rPr/>
      </w:r>
    </w:p>
    <w:p>
      <w:pPr>
        <w:pStyle w:val="Quotations"/>
        <w:widowControl/>
        <w:pBdr>
          <w:left w:val="single" w:sz="14" w:space="1" w:color="6D4AFF"/>
        </w:pBdr>
        <w:bidi w:val="0"/>
        <w:spacing w:lineRule="auto" w:line="360" w:before="0" w:after="0"/>
        <w:ind w:left="567" w:right="567" w:hanging="0"/>
        <w:jc w:val="left"/>
        <w:rPr/>
      </w:pPr>
      <w:r>
        <w:rPr>
          <w:rStyle w:val="Emphasis"/>
          <w:rFonts w:ascii="Inter;system-ui;sans-serif" w:hAnsi="Inter;system-ui;sans-serif"/>
          <w:b w:val="false"/>
          <w:i/>
          <w:color w:val="24292E"/>
          <w:spacing w:val="0"/>
          <w:sz w:val="24"/>
          <w:szCs w:val="24"/>
        </w:rPr>
        <w:t>For aviation batteries, there's no room for ambiguity when the difference between advertised and actual performance determines whether your first start attempt succeeds in winter mountain conditions.</w:t>
      </w:r>
    </w:p>
    <w:p>
      <w:pPr>
        <w:pStyle w:val="Quotations"/>
        <w:widowControl/>
        <w:pBdr>
          <w:left w:val="single" w:sz="14" w:space="1" w:color="6D4AFF"/>
        </w:pBdr>
        <w:shd w:fill="F8FAFC" w:val="clear"/>
        <w:bidi w:val="0"/>
        <w:spacing w:lineRule="auto" w:line="360" w:before="0" w:after="0"/>
        <w:ind w:left="567" w:right="567" w:hanging="0"/>
        <w:jc w:val="left"/>
        <w:rPr/>
      </w:pPr>
      <w:r>
        <w:rPr>
          <w:rStyle w:val="Emphasis"/>
          <w:rFonts w:ascii="Inter;system-ui;sans-serif" w:hAnsi="Inter;system-ui;sans-serif"/>
          <w:b w:val="false"/>
          <w:i/>
          <w:color w:val="24292E"/>
          <w:spacing w:val="0"/>
          <w:sz w:val="24"/>
          <w:szCs w:val="24"/>
        </w:rPr>
        <w:t>The difference between 70% and 95% capacity at -30°C isn't a spec sheet footnote — it's the margin between a successful start and being grounded until spring thaw."</w:t>
      </w:r>
    </w:p>
    <w:p>
      <w:pPr>
        <w:pStyle w:val="TextBody"/>
        <w:bidi w:val="0"/>
        <w:jc w:val="left"/>
        <w:rPr>
          <w:sz w:val="24"/>
          <w:szCs w:val="24"/>
        </w:rPr>
      </w:pPr>
      <w:r>
        <w:rPr>
          <w:sz w:val="24"/>
          <w:szCs w:val="24"/>
        </w:rPr>
      </w:r>
    </w:p>
    <w:p>
      <w:pPr>
        <w:pStyle w:val="Heading2"/>
        <w:bidi w:val="0"/>
        <w:jc w:val="left"/>
        <w:rPr>
          <w:rFonts w:ascii="Inter;system-ui;sans-serif" w:hAnsi="Inter;system-ui;sans-serif"/>
          <w:b/>
          <w:i w:val="false"/>
          <w:caps w:val="false"/>
          <w:smallCaps w:val="false"/>
          <w:color w:val="24292E"/>
          <w:spacing w:val="0"/>
          <w:sz w:val="17"/>
          <w:szCs w:val="24"/>
        </w:rPr>
      </w:pPr>
      <w:r>
        <w:rPr>
          <w:rFonts w:ascii="Inter;system-ui;sans-serif" w:hAnsi="Inter;system-ui;sans-serif"/>
          <w:b/>
          <w:i w:val="false"/>
          <w:caps w:val="false"/>
          <w:smallCaps w:val="false"/>
          <w:color w:val="24292E"/>
          <w:spacing w:val="0"/>
          <w:sz w:val="17"/>
          <w:szCs w:val="24"/>
        </w:rPr>
        <w:t>Claim 1: LFP suffers major capacity loss in cold (the "70% not 95%" point)</w:t>
      </w:r>
    </w:p>
    <w:tbl>
      <w:tblPr>
        <w:tblW w:w="9972" w:type="dxa"/>
        <w:jc w:val="left"/>
        <w:tblInd w:w="0" w:type="dxa"/>
        <w:shd w:fill="FFFFFF" w:val="clear"/>
        <w:tblLayout w:type="fixed"/>
        <w:tblCellMar>
          <w:top w:w="0" w:type="dxa"/>
          <w:left w:w="28" w:type="dxa"/>
          <w:bottom w:w="28" w:type="dxa"/>
          <w:right w:w="0" w:type="dxa"/>
        </w:tblCellMar>
      </w:tblPr>
      <w:tblGrid>
        <w:gridCol w:w="3978"/>
        <w:gridCol w:w="2282"/>
        <w:gridCol w:w="3712"/>
      </w:tblGrid>
      <w:tr>
        <w:trPr>
          <w:tblHeader w:val="true"/>
        </w:trPr>
        <w:tc>
          <w:tcPr>
            <w:tcW w:w="3978"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Study</w:t>
            </w:r>
          </w:p>
        </w:tc>
        <w:tc>
          <w:tcPr>
            <w:tcW w:w="2282"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Journal / Year</w:t>
            </w:r>
          </w:p>
        </w:tc>
        <w:tc>
          <w:tcPr>
            <w:tcW w:w="3712"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Key Finding</w:t>
            </w:r>
          </w:p>
        </w:tc>
      </w:tr>
      <w:tr>
        <w:trPr/>
        <w:tc>
          <w:tcPr>
            <w:tcW w:w="3978"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"Effects of temperature on charge/discharge behaviors of LiFePO4 cathode for Li-ion batteries"</w:t>
            </w:r>
          </w:p>
        </w:tc>
        <w:tc>
          <w:tcPr>
            <w:tcW w:w="228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Electrochimica Acta, 2012</w:t>
            </w:r>
          </w:p>
        </w:tc>
        <w:tc>
          <w:tcPr>
            <w:tcW w:w="3712" w:type="dxa"/>
            <w:tcBorders>
              <w:bottom w:val="single" w:sz="2" w:space="0" w:color="EAE7E4"/>
            </w:tcBorders>
            <w:shd w:fill="FFFFFF" w:val="clear"/>
            <w:tcMar>
              <w:left w:w="0" w:type="dxa"/>
            </w:tcMar>
            <w:vAlign w:val="center"/>
          </w:tcPr>
          <w:p>
            <w:pPr>
              <w:pStyle w:val="TableContents"/>
              <w:bidi w:val="0"/>
              <w:ind w:left="0" w:right="0" w:hanging="0"/>
              <w:jc w:val="left"/>
              <w:rPr/>
            </w:pPr>
            <w:r>
              <w:rPr>
                <w:color w:val="0C0C14"/>
              </w:rPr>
              <w:t xml:space="preserve">At −20°C, LFP cathode retains </w:t>
            </w:r>
            <w:r>
              <w:rPr>
                <w:rStyle w:val="StrongEmphasis"/>
                <w:b/>
                <w:color w:val="0C0C14"/>
              </w:rPr>
              <w:t>less than 50%</w:t>
            </w:r>
            <w:r>
              <w:rPr>
                <w:color w:val="0C0C14"/>
              </w:rPr>
              <w:t xml:space="preserve"> of the discharge capacity obtained at 20°C</w:t>
            </w:r>
          </w:p>
        </w:tc>
      </w:tr>
      <w:tr>
        <w:trPr/>
        <w:tc>
          <w:tcPr>
            <w:tcW w:w="3978" w:type="dxa"/>
            <w:tcBorders>
              <w:left w:val="single" w:sz="2" w:space="0" w:color="EAE7E4"/>
            </w:tcBorders>
            <w:shd w:fill="FFFFFF" w:val="clear"/>
            <w:tcMar>
              <w:bottom w:w="0" w:type="dxa"/>
            </w:tcMar>
            <w:vAlign w:val="center"/>
          </w:tcPr>
          <w:p>
            <w:pPr>
              <w:pStyle w:val="TableContents"/>
              <w:bidi w:val="0"/>
              <w:ind w:left="0" w:right="0" w:hanging="0"/>
              <w:jc w:val="left"/>
              <w:rPr/>
            </w:pPr>
            <w:r>
              <w:rPr>
                <w:rStyle w:val="StrongEmphasis"/>
                <w:b/>
                <w:color w:val="0C0C14"/>
              </w:rPr>
              <w:t>"Low temperature performance of LiFePO4 cathode material for Li-ion batteries"</w:t>
            </w:r>
          </w:p>
        </w:tc>
        <w:tc>
          <w:tcPr>
            <w:tcW w:w="2282" w:type="dxa"/>
            <w:tcBorders>
              <w:left w:val="single" w:sz="2" w:space="0" w:color="EAE7E4"/>
            </w:tcBorders>
            <w:shd w:fill="FFFFFF" w:val="clear"/>
            <w:tcMar>
              <w:bottom w:w="0" w:type="dxa"/>
            </w:tcMar>
            <w:vAlign w:val="center"/>
          </w:tcPr>
          <w:p>
            <w:pPr>
              <w:pStyle w:val="TableContents"/>
              <w:bidi w:val="0"/>
              <w:ind w:left="0" w:right="0" w:hanging="0"/>
              <w:jc w:val="left"/>
              <w:rPr>
                <w:color w:val="0C0C14"/>
              </w:rPr>
            </w:pPr>
            <w:r>
              <w:rPr>
                <w:color w:val="0C0C14"/>
              </w:rPr>
              <w:t>Journal of Alloys and Compounds, 2013</w:t>
            </w:r>
          </w:p>
        </w:tc>
        <w:tc>
          <w:tcPr>
            <w:tcW w:w="3712" w:type="dxa"/>
            <w:tcBorders/>
            <w:shd w:fill="FFFFFF" w:val="clear"/>
            <w:tcMar>
              <w:left w:w="0" w:type="dxa"/>
              <w:bottom w:w="0" w:type="dxa"/>
            </w:tcMar>
            <w:vAlign w:val="center"/>
          </w:tcPr>
          <w:p>
            <w:pPr>
              <w:pStyle w:val="TableContents"/>
              <w:widowControl w:val="false"/>
              <w:suppressLineNumbers/>
              <w:bidi w:val="0"/>
              <w:jc w:val="left"/>
              <w:rPr/>
            </w:pPr>
            <w:r>
              <w:rPr>
                <w:color w:val="0C0C14"/>
              </w:rPr>
              <w:t xml:space="preserve">High-purity LFP/C retains </w:t>
            </w:r>
            <w:r>
              <w:rPr>
                <w:rStyle w:val="StrongEmphasis"/>
                <w:b/>
                <w:color w:val="0C0C14"/>
              </w:rPr>
              <w:t>81.5% at 0°C, 70.2% at −20°C, 46.6% at −40°C</w:t>
            </w:r>
            <w:r>
              <w:rPr>
                <w:color w:val="0C0C14"/>
              </w:rPr>
              <w:t xml:space="preserve"> (measured at 0.2C)</w:t>
            </w:r>
          </w:p>
        </w:tc>
      </w:tr>
    </w:tbl>
    <w:p>
      <w:pPr>
        <w:pStyle w:val="TextBody"/>
        <w:widowControl/>
        <w:bidi w:val="0"/>
        <w:spacing w:lineRule="auto" w:line="360"/>
        <w:ind w:left="0" w:right="0" w:hanging="0"/>
        <w:jc w:val="left"/>
        <w:rPr/>
      </w:pPr>
      <w:r>
        <w:rPr>
          <w:rStyle w:val="StrongEmphasis"/>
          <w:rFonts w:ascii="Inter;system-ui;sans-serif" w:hAnsi="Inter;system-ui;sans-serif"/>
          <w:b/>
          <w:i w:val="false"/>
          <w:caps w:val="false"/>
          <w:smallCaps w:val="false"/>
          <w:color w:val="24292E"/>
          <w:spacing w:val="0"/>
          <w:sz w:val="17"/>
        </w:rPr>
        <w:t>Bonus insight on the second study:</w:t>
      </w:r>
      <w:r>
        <w:rPr>
          <w:rFonts w:ascii="Inter;system-ui;sans-serif" w:hAnsi="Inter;system-ui;sans-serif"/>
          <w:b w:val="false"/>
          <w:i w:val="false"/>
          <w:caps w:val="false"/>
          <w:smallCaps w:val="false"/>
          <w:color w:val="24292E"/>
          <w:spacing w:val="0"/>
          <w:sz w:val="17"/>
        </w:rPr>
        <w:t xml:space="preserve"> its 70.2% at −20°C / ~47% at −40°C at 0.2C is strikingly close to Grepow's published 85% / 70% / 55% numbers. Peer-reviewed literature independently corroborates the cell supplier's specs — which strengthens your "the real number is ~70%, not 95%" argument considerably. You're no longer attacking EarthX with a competitor's marketing; you're attacking with peer-reviewed science.</w:t>
      </w:r>
    </w:p>
    <w:p>
      <w:pPr>
        <w:pStyle w:val="TextBody"/>
        <w:widowControl/>
        <w:bidi w:val="0"/>
        <w:spacing w:lineRule="auto" w:line="360"/>
        <w:ind w:left="0" w:right="0" w:hanging="0"/>
        <w:jc w:val="left"/>
        <w:rPr>
          <w:rFonts w:ascii="Inter;system-ui;sans-serif" w:hAnsi="Inter;system-ui;sans-serif"/>
          <w:b w:val="false"/>
          <w:i w:val="false"/>
          <w:caps w:val="false"/>
          <w:smallCaps w:val="false"/>
          <w:color w:val="24292E"/>
          <w:spacing w:val="0"/>
          <w:sz w:val="17"/>
        </w:rPr>
      </w:pPr>
      <w:r>
        <w:rPr/>
      </w:r>
    </w:p>
    <w:p>
      <w:pPr>
        <w:pStyle w:val="Heading2"/>
        <w:widowControl/>
        <w:bidi w:val="0"/>
        <w:spacing w:lineRule="auto" w:line="312" w:before="0" w:after="0"/>
        <w:ind w:left="0" w:right="0" w:hanging="0"/>
        <w:jc w:val="left"/>
        <w:rPr>
          <w:rFonts w:ascii="Inter;system-ui;sans-serif" w:hAnsi="Inter;system-ui;sans-serif"/>
          <w:b/>
          <w:i w:val="false"/>
          <w:caps w:val="false"/>
          <w:smallCaps w:val="false"/>
          <w:color w:val="24292E"/>
          <w:spacing w:val="0"/>
          <w:sz w:val="17"/>
        </w:rPr>
      </w:pPr>
      <w:r>
        <w:rPr>
          <w:rFonts w:ascii="Inter;system-ui;sans-serif" w:hAnsi="Inter;system-ui;sans-serif"/>
          <w:b/>
          <w:i w:val="false"/>
          <w:caps w:val="false"/>
          <w:smallCaps w:val="false"/>
          <w:color w:val="24292E"/>
          <w:spacing w:val="0"/>
          <w:sz w:val="17"/>
        </w:rPr>
        <w:t>Claim 2: Charging lithium below 0°C causes plating (the mechanism EarthX describes then waves away)</w:t>
      </w:r>
    </w:p>
    <w:tbl>
      <w:tblPr>
        <w:tblW w:w="9972" w:type="dxa"/>
        <w:jc w:val="left"/>
        <w:tblInd w:w="0" w:type="dxa"/>
        <w:shd w:fill="FFFFFF" w:val="clear"/>
        <w:tblLayout w:type="fixed"/>
        <w:tblCellMar>
          <w:top w:w="0" w:type="dxa"/>
          <w:left w:w="28" w:type="dxa"/>
          <w:bottom w:w="28" w:type="dxa"/>
          <w:right w:w="0" w:type="dxa"/>
        </w:tblCellMar>
      </w:tblPr>
      <w:tblGrid>
        <w:gridCol w:w="3440"/>
        <w:gridCol w:w="1351"/>
        <w:gridCol w:w="5181"/>
      </w:tblGrid>
      <w:tr>
        <w:trPr>
          <w:tblHeader w:val="true"/>
        </w:trPr>
        <w:tc>
          <w:tcPr>
            <w:tcW w:w="3440"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Study</w:t>
            </w:r>
          </w:p>
        </w:tc>
        <w:tc>
          <w:tcPr>
            <w:tcW w:w="1351"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Journal / Year</w:t>
            </w:r>
          </w:p>
        </w:tc>
        <w:tc>
          <w:tcPr>
            <w:tcW w:w="5181"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Key Finding</w:t>
            </w:r>
          </w:p>
        </w:tc>
      </w:tr>
      <w:tr>
        <w:trPr/>
        <w:tc>
          <w:tcPr>
            <w:tcW w:w="3440"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"Fast charging of lithium-ion batteries at all temperatures"</w:t>
            </w:r>
            <w:r>
              <w:rPr>
                <w:color w:val="0C0C14"/>
              </w:rPr>
              <w:t xml:space="preserve"> (Wang et al.)</w:t>
            </w:r>
          </w:p>
        </w:tc>
        <w:tc>
          <w:tcPr>
            <w:tcW w:w="1351"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Joule, 2018</w:t>
            </w:r>
          </w:p>
        </w:tc>
        <w:tc>
          <w:tcPr>
            <w:tcW w:w="5181" w:type="dxa"/>
            <w:tcBorders>
              <w:bottom w:val="single" w:sz="2" w:space="0" w:color="EAE7E4"/>
            </w:tcBorders>
            <w:shd w:fill="FFFFFF" w:val="clear"/>
            <w:tcMar>
              <w:left w:w="0" w:type="dxa"/>
            </w:tcMar>
            <w:vAlign w:val="center"/>
          </w:tcPr>
          <w:p>
            <w:pPr>
              <w:pStyle w:val="TableContents"/>
              <w:bidi w:val="0"/>
              <w:ind w:left="0" w:right="0" w:hanging="0"/>
              <w:jc w:val="left"/>
              <w:rPr/>
            </w:pPr>
            <w:r>
              <w:rPr>
                <w:color w:val="0C0C14"/>
              </w:rPr>
              <w:t xml:space="preserve">A cell that can accept a 4-C charge at 25°C without plating can only allow </w:t>
            </w:r>
            <w:r>
              <w:rPr>
                <w:rStyle w:val="StrongEmphasis"/>
                <w:b/>
                <w:color w:val="0C0C14"/>
              </w:rPr>
              <w:t>~C/1.5 at 0°C</w:t>
            </w:r>
            <w:r>
              <w:rPr>
                <w:color w:val="0C0C14"/>
              </w:rPr>
              <w:t xml:space="preserve"> to prevent lithium plating — the foundational paper quantifying why cold charging must be throttled</w:t>
            </w:r>
          </w:p>
        </w:tc>
      </w:tr>
      <w:tr>
        <w:trPr/>
        <w:tc>
          <w:tcPr>
            <w:tcW w:w="3440"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"Lithium plating in a commercial lithium-ion battery – A low-temperature aging study"</w:t>
            </w:r>
          </w:p>
        </w:tc>
        <w:tc>
          <w:tcPr>
            <w:tcW w:w="1351"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Journal of Power Sources, 2017</w:t>
            </w:r>
          </w:p>
        </w:tc>
        <w:tc>
          <w:tcPr>
            <w:tcW w:w="5181" w:type="dxa"/>
            <w:tcBorders>
              <w:bottom w:val="single" w:sz="2" w:space="0" w:color="EAE7E4"/>
            </w:tcBorders>
            <w:shd w:fill="FFFFFF" w:val="clear"/>
            <w:tcMar>
              <w:left w:w="0" w:type="dxa"/>
            </w:tcMar>
            <w:vAlign w:val="center"/>
          </w:tcPr>
          <w:p>
            <w:pPr>
              <w:pStyle w:val="TableContents"/>
              <w:bidi w:val="0"/>
              <w:ind w:left="0" w:right="0" w:hanging="0"/>
              <w:jc w:val="left"/>
              <w:rPr/>
            </w:pPr>
            <w:r>
              <w:rPr>
                <w:color w:val="0C0C14"/>
              </w:rPr>
              <w:t xml:space="preserve">Tested a commercial LFP/graphite cell: "intercalation of lithium-ions in the graphite particles and lithium plating are </w:t>
            </w:r>
            <w:r>
              <w:rPr>
                <w:rStyle w:val="StrongEmphasis"/>
                <w:b/>
                <w:color w:val="0C0C14"/>
              </w:rPr>
              <w:t>competing</w:t>
            </w:r>
            <w:r>
              <w:rPr>
                <w:color w:val="0C0C14"/>
              </w:rPr>
              <w:t xml:space="preserve"> during low-temperature charging"; plating tied to lifetime and </w:t>
            </w:r>
            <w:r>
              <w:rPr>
                <w:rStyle w:val="StrongEmphasis"/>
                <w:b/>
                <w:color w:val="0C0C14"/>
              </w:rPr>
              <w:t>safety issues</w:t>
            </w:r>
          </w:p>
        </w:tc>
      </w:tr>
      <w:tr>
        <w:trPr/>
        <w:tc>
          <w:tcPr>
            <w:tcW w:w="3440"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"Lithium plating on the anode for lithium-ion batteries during long-term low temperature cycling"</w:t>
            </w:r>
          </w:p>
        </w:tc>
        <w:tc>
          <w:tcPr>
            <w:tcW w:w="1351"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Journal of Power Sources, 2021</w:t>
            </w:r>
          </w:p>
        </w:tc>
        <w:tc>
          <w:tcPr>
            <w:tcW w:w="5181"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Documents lithium plating occurring during long-term cycling at 0°C and below; plating and SEI thickening are the dominant degradation mechanisms</w:t>
            </w:r>
          </w:p>
        </w:tc>
      </w:tr>
      <w:tr>
        <w:trPr/>
        <w:tc>
          <w:tcPr>
            <w:tcW w:w="3440"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"Safety and performance implications of lithium plating induced by sub-zero temperature cycling"</w:t>
            </w:r>
          </w:p>
        </w:tc>
        <w:tc>
          <w:tcPr>
            <w:tcW w:w="1351"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Journal of Power Sources, 2025</w:t>
            </w:r>
          </w:p>
        </w:tc>
        <w:tc>
          <w:tcPr>
            <w:tcW w:w="5181" w:type="dxa"/>
            <w:tcBorders>
              <w:bottom w:val="single" w:sz="2" w:space="0" w:color="EAE7E4"/>
            </w:tcBorders>
            <w:shd w:fill="FFFFFF" w:val="clear"/>
            <w:tcMar>
              <w:left w:w="0" w:type="dxa"/>
            </w:tcMar>
            <w:vAlign w:val="center"/>
          </w:tcPr>
          <w:p>
            <w:pPr>
              <w:pStyle w:val="TableContents"/>
              <w:bidi w:val="0"/>
              <w:ind w:left="0" w:right="0" w:hanging="0"/>
              <w:jc w:val="left"/>
              <w:rPr/>
            </w:pPr>
            <w:r>
              <w:rPr>
                <w:color w:val="0C0C14"/>
              </w:rPr>
              <w:t xml:space="preserve">Sub-zero cycling induces plating with direct </w:t>
            </w:r>
            <w:r>
              <w:rPr>
                <w:rStyle w:val="StrongEmphasis"/>
                <w:b/>
                <w:color w:val="0C0C14"/>
              </w:rPr>
              <w:t>safety implications</w:t>
            </w:r>
            <w:r>
              <w:rPr>
                <w:color w:val="0C0C14"/>
              </w:rPr>
              <w:t xml:space="preserve"> — detects the plating signature at −10°C aging</w:t>
            </w:r>
          </w:p>
        </w:tc>
      </w:tr>
      <w:tr>
        <w:trPr/>
        <w:tc>
          <w:tcPr>
            <w:tcW w:w="3440" w:type="dxa"/>
            <w:tcBorders>
              <w:left w:val="single" w:sz="2" w:space="0" w:color="EAE7E4"/>
            </w:tcBorders>
            <w:shd w:fill="FFFFFF" w:val="clear"/>
            <w:tcMar>
              <w:bottom w:w="0" w:type="dxa"/>
            </w:tcMar>
            <w:vAlign w:val="center"/>
          </w:tcPr>
          <w:p>
            <w:pPr>
              <w:pStyle w:val="TableContents"/>
              <w:bidi w:val="0"/>
              <w:ind w:left="0" w:right="0" w:hanging="0"/>
              <w:jc w:val="left"/>
              <w:rPr/>
            </w:pPr>
            <w:r>
              <w:rPr>
                <w:rStyle w:val="StrongEmphasis"/>
                <w:b/>
                <w:color w:val="0C0C14"/>
              </w:rPr>
              <w:t>"Underpotential lithium plating on graphite anodes caused by temperature heterogeneity"</w:t>
            </w:r>
          </w:p>
        </w:tc>
        <w:tc>
          <w:tcPr>
            <w:tcW w:w="1351" w:type="dxa"/>
            <w:tcBorders>
              <w:left w:val="single" w:sz="2" w:space="0" w:color="EAE7E4"/>
            </w:tcBorders>
            <w:shd w:fill="FFFFFF" w:val="clear"/>
            <w:tcMar>
              <w:bottom w:w="0" w:type="dxa"/>
            </w:tcMar>
            <w:vAlign w:val="center"/>
          </w:tcPr>
          <w:p>
            <w:pPr>
              <w:pStyle w:val="TableContents"/>
              <w:bidi w:val="0"/>
              <w:ind w:left="0" w:right="0" w:hanging="0"/>
              <w:jc w:val="left"/>
              <w:rPr>
                <w:color w:val="0C0C14"/>
              </w:rPr>
            </w:pPr>
            <w:r>
              <w:rPr>
                <w:color w:val="0C0C14"/>
              </w:rPr>
              <w:t>PNAS, 2020</w:t>
            </w:r>
          </w:p>
        </w:tc>
        <w:tc>
          <w:tcPr>
            <w:tcW w:w="5181" w:type="dxa"/>
            <w:tcBorders/>
            <w:shd w:fill="FFFFFF" w:val="clear"/>
            <w:tcMar>
              <w:left w:w="0" w:type="dxa"/>
              <w:bottom w:w="0" w:type="dxa"/>
            </w:tcMar>
            <w:vAlign w:val="center"/>
          </w:tcPr>
          <w:p>
            <w:pPr>
              <w:pStyle w:val="TableContents"/>
              <w:widowControl w:val="false"/>
              <w:suppressLineNumbers/>
              <w:bidi w:val="0"/>
              <w:jc w:val="left"/>
              <w:rPr/>
            </w:pPr>
            <w:r>
              <w:rPr>
                <w:color w:val="0C0C14"/>
              </w:rPr>
              <w:t xml:space="preserve">Metallic lithium can plate on graphite </w:t>
            </w:r>
            <w:r>
              <w:rPr>
                <w:rStyle w:val="StrongEmphasis"/>
                <w:b/>
                <w:color w:val="0C0C14"/>
              </w:rPr>
              <w:t>even above 0°C</w:t>
            </w:r>
            <w:r>
              <w:rPr>
                <w:color w:val="0C0C14"/>
              </w:rPr>
              <w:t xml:space="preserve"> under cold/fast-charge conditions — meaning the 0°C threshold is optimistic, not conservative</w:t>
            </w:r>
          </w:p>
        </w:tc>
      </w:tr>
    </w:tbl>
    <w:p>
      <w:pPr>
        <w:pStyle w:val="TextBody"/>
        <w:widowControl/>
        <w:bidi w:val="0"/>
        <w:spacing w:lineRule="auto" w:line="360"/>
        <w:ind w:left="0" w:right="0" w:hanging="0"/>
        <w:jc w:val="left"/>
        <w:rPr/>
      </w:pPr>
      <w:r>
        <w:rPr>
          <w:rStyle w:val="StrongEmphasis"/>
          <w:rFonts w:ascii="Inter;system-ui;sans-serif" w:hAnsi="Inter;system-ui;sans-serif"/>
          <w:b/>
          <w:i w:val="false"/>
          <w:caps w:val="false"/>
          <w:smallCaps w:val="false"/>
          <w:color w:val="24292E"/>
          <w:spacing w:val="0"/>
          <w:sz w:val="17"/>
        </w:rPr>
        <w:t>Note the 2017 study uses a commercial LFP cell specifically</w:t>
      </w:r>
      <w:r>
        <w:rPr>
          <w:rFonts w:ascii="Inter;system-ui;sans-serif" w:hAnsi="Inter;system-ui;sans-serif"/>
          <w:b w:val="false"/>
          <w:i w:val="false"/>
          <w:caps w:val="false"/>
          <w:smallCaps w:val="false"/>
          <w:color w:val="24292E"/>
          <w:spacing w:val="0"/>
          <w:sz w:val="17"/>
        </w:rPr>
        <w:t xml:space="preserve"> — same chemistry class as aviation starter batteries. This is the citation to lead with against the "it can and will charge below 32°F" assertion.</w:t>
      </w:r>
    </w:p>
    <w:p>
      <w:pPr>
        <w:pStyle w:val="Heading2"/>
        <w:widowControl/>
        <w:bidi w:val="0"/>
        <w:spacing w:lineRule="auto" w:line="312" w:before="0" w:after="0"/>
        <w:ind w:left="0" w:right="0" w:hanging="0"/>
        <w:jc w:val="left"/>
        <w:rPr>
          <w:rFonts w:ascii="Inter;system-ui;sans-serif" w:hAnsi="Inter;system-ui;sans-serif"/>
          <w:b/>
          <w:i w:val="false"/>
          <w:caps w:val="false"/>
          <w:smallCaps w:val="false"/>
          <w:color w:val="24292E"/>
          <w:spacing w:val="0"/>
          <w:sz w:val="17"/>
        </w:rPr>
      </w:pPr>
      <w:r>
        <w:rPr>
          <w:rFonts w:ascii="Inter;system-ui;sans-serif" w:hAnsi="Inter;system-ui;sans-serif"/>
          <w:b/>
          <w:i w:val="false"/>
          <w:caps w:val="false"/>
          <w:smallCaps w:val="false"/>
          <w:color w:val="24292E"/>
          <w:spacing w:val="0"/>
          <w:sz w:val="17"/>
        </w:rPr>
        <w:t>Claim 3: Sodium-ion sustains low-temperature performance</w:t>
      </w:r>
    </w:p>
    <w:tbl>
      <w:tblPr>
        <w:tblW w:w="9972" w:type="dxa"/>
        <w:jc w:val="left"/>
        <w:tblInd w:w="0" w:type="dxa"/>
        <w:shd w:fill="FFFFFF" w:val="clear"/>
        <w:tblLayout w:type="fixed"/>
        <w:tblCellMar>
          <w:top w:w="0" w:type="dxa"/>
          <w:left w:w="28" w:type="dxa"/>
          <w:bottom w:w="28" w:type="dxa"/>
          <w:right w:w="0" w:type="dxa"/>
        </w:tblCellMar>
      </w:tblPr>
      <w:tblGrid>
        <w:gridCol w:w="3713"/>
        <w:gridCol w:w="1590"/>
        <w:gridCol w:w="4669"/>
      </w:tblGrid>
      <w:tr>
        <w:trPr>
          <w:tblHeader w:val="true"/>
        </w:trPr>
        <w:tc>
          <w:tcPr>
            <w:tcW w:w="3713"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Study</w:t>
            </w:r>
          </w:p>
        </w:tc>
        <w:tc>
          <w:tcPr>
            <w:tcW w:w="1590"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Journal / Year</w:t>
            </w:r>
          </w:p>
        </w:tc>
        <w:tc>
          <w:tcPr>
            <w:tcW w:w="4669"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Key Finding</w:t>
            </w:r>
          </w:p>
        </w:tc>
      </w:tr>
      <w:tr>
        <w:trPr/>
        <w:tc>
          <w:tcPr>
            <w:tcW w:w="3713"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"Low-Temperature Sodium-Ion Batteries: Challenges and Progress"</w:t>
            </w:r>
            <w:r>
              <w:rPr>
                <w:color w:val="0C0C14"/>
              </w:rPr>
              <w:t xml:space="preserve"> (Bai et al.)</w:t>
            </w:r>
          </w:p>
        </w:tc>
        <w:tc>
          <w:tcPr>
            <w:tcW w:w="1590"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Advanced Energy Materials, 2024</w:t>
            </w:r>
          </w:p>
        </w:tc>
        <w:tc>
          <w:tcPr>
            <w:tcW w:w="4669" w:type="dxa"/>
            <w:tcBorders>
              <w:bottom w:val="single" w:sz="2" w:space="0" w:color="EAE7E4"/>
            </w:tcBorders>
            <w:shd w:fill="FFFFFF" w:val="clear"/>
            <w:tcMar>
              <w:left w:w="0" w:type="dxa"/>
            </w:tcMar>
            <w:vAlign w:val="center"/>
          </w:tcPr>
          <w:p>
            <w:pPr>
              <w:pStyle w:val="TableContents"/>
              <w:bidi w:val="0"/>
              <w:ind w:left="0" w:right="0" w:hanging="0"/>
              <w:jc w:val="left"/>
              <w:rPr/>
            </w:pPr>
            <w:r>
              <w:rPr>
                <w:color w:val="0C0C14"/>
              </w:rPr>
              <w:t xml:space="preserve">Hard carbon anode capacity retention: </w:t>
            </w:r>
            <w:r>
              <w:rPr>
                <w:rStyle w:val="StrongEmphasis"/>
                <w:b/>
                <w:color w:val="0C0C14"/>
              </w:rPr>
              <w:t>99.8% at −20°C, 97.9% at −40°C, 84.5% at −50°C</w:t>
            </w:r>
          </w:p>
        </w:tc>
      </w:tr>
      <w:tr>
        <w:trPr/>
        <w:tc>
          <w:tcPr>
            <w:tcW w:w="3713"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"Low-temperature performance of Na-ion batteries"</w:t>
            </w:r>
            <w:r>
              <w:rPr>
                <w:color w:val="0C0C14"/>
              </w:rPr>
              <w:t xml:space="preserve"> (Li et al.)</w:t>
            </w:r>
          </w:p>
        </w:tc>
        <w:tc>
          <w:tcPr>
            <w:tcW w:w="1590"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Carbon Energy, 2024</w:t>
            </w:r>
          </w:p>
        </w:tc>
        <w:tc>
          <w:tcPr>
            <w:tcW w:w="4669" w:type="dxa"/>
            <w:tcBorders>
              <w:bottom w:val="single" w:sz="2" w:space="0" w:color="EAE7E4"/>
            </w:tcBorders>
            <w:shd w:fill="FFFFFF" w:val="clear"/>
            <w:tcMar>
              <w:left w:w="0" w:type="dxa"/>
            </w:tcMar>
            <w:vAlign w:val="center"/>
          </w:tcPr>
          <w:p>
            <w:pPr>
              <w:pStyle w:val="TableContents"/>
              <w:bidi w:val="0"/>
              <w:ind w:left="0" w:right="0" w:hanging="0"/>
              <w:jc w:val="left"/>
              <w:rPr/>
            </w:pPr>
            <w:r>
              <w:rPr>
                <w:color w:val="0C0C14"/>
              </w:rPr>
              <w:t xml:space="preserve">NVP@C cathode delivers </w:t>
            </w:r>
            <w:r>
              <w:rPr>
                <w:rStyle w:val="StrongEmphasis"/>
                <w:b/>
                <w:color w:val="0C0C14"/>
              </w:rPr>
              <w:t>91.3 mAh/g at 10 C at −20°C (85.2% of room-temp performance)</w:t>
            </w:r>
            <w:r>
              <w:rPr>
                <w:color w:val="0C0C14"/>
              </w:rPr>
              <w:t xml:space="preserve"> — note that's a </w:t>
            </w:r>
            <w:r>
              <w:rPr>
                <w:rStyle w:val="Emphasis"/>
                <w:color w:val="0C0C14"/>
              </w:rPr>
              <w:t>high-rate</w:t>
            </w:r>
            <w:r>
              <w:rPr>
                <w:color w:val="0C0C14"/>
              </w:rPr>
              <w:t xml:space="preserve"> test, closer to cranking duty than Grepow's 0.2C</w:t>
            </w:r>
          </w:p>
        </w:tc>
      </w:tr>
      <w:tr>
        <w:trPr/>
        <w:tc>
          <w:tcPr>
            <w:tcW w:w="3713"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"Insights into targeted effects of salt and solvent on Na+ storage in hard carbon anodes"</w:t>
            </w:r>
            <w:r>
              <w:rPr>
                <w:color w:val="0C0C14"/>
              </w:rPr>
              <w:t xml:space="preserve"> (Luo et al.)</w:t>
            </w:r>
          </w:p>
        </w:tc>
        <w:tc>
          <w:tcPr>
            <w:tcW w:w="1590"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Science China Chemistry, 2026</w:t>
            </w:r>
          </w:p>
        </w:tc>
        <w:tc>
          <w:tcPr>
            <w:tcW w:w="4669" w:type="dxa"/>
            <w:tcBorders>
              <w:bottom w:val="single" w:sz="2" w:space="0" w:color="EAE7E4"/>
            </w:tcBorders>
            <w:shd w:fill="FFFFFF" w:val="clear"/>
            <w:tcMar>
              <w:left w:w="0" w:type="dxa"/>
            </w:tcMar>
            <w:vAlign w:val="center"/>
          </w:tcPr>
          <w:p>
            <w:pPr>
              <w:pStyle w:val="TableContents"/>
              <w:bidi w:val="0"/>
              <w:ind w:left="0" w:right="0" w:hanging="0"/>
              <w:jc w:val="left"/>
              <w:rPr/>
            </w:pPr>
            <w:r>
              <w:rPr>
                <w:color w:val="0C0C14"/>
              </w:rPr>
              <w:t xml:space="preserve">Full pouch cell achieved </w:t>
            </w:r>
            <w:r>
              <w:rPr>
                <w:rStyle w:val="StrongEmphasis"/>
                <w:b/>
                <w:color w:val="0C0C14"/>
              </w:rPr>
              <w:t>81% capacity retention at −40°C</w:t>
            </w:r>
          </w:p>
        </w:tc>
      </w:tr>
      <w:tr>
        <w:trPr/>
        <w:tc>
          <w:tcPr>
            <w:tcW w:w="3713"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"Low-temperature sodium-ion batteries: challenges, engineering strategies, safety considerations"</w:t>
            </w:r>
          </w:p>
        </w:tc>
        <w:tc>
          <w:tcPr>
            <w:tcW w:w="1590"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EES Batteries (RSC), 2025</w:t>
            </w:r>
          </w:p>
        </w:tc>
        <w:tc>
          <w:tcPr>
            <w:tcW w:w="4669" w:type="dxa"/>
            <w:tcBorders>
              <w:bottom w:val="single" w:sz="2" w:space="0" w:color="EAE7E4"/>
            </w:tcBorders>
            <w:shd w:fill="FFFFFF" w:val="clear"/>
            <w:tcMar>
              <w:left w:w="0" w:type="dxa"/>
            </w:tcMar>
            <w:vAlign w:val="center"/>
          </w:tcPr>
          <w:p>
            <w:pPr>
              <w:pStyle w:val="TableContents"/>
              <w:bidi w:val="0"/>
              <w:ind w:left="0" w:right="0" w:hanging="0"/>
              <w:jc w:val="left"/>
              <w:rPr/>
            </w:pPr>
            <w:r>
              <w:rPr>
                <w:color w:val="0C0C14"/>
              </w:rPr>
              <w:t xml:space="preserve">Full cells with optimized electrolytes achieve </w:t>
            </w:r>
            <w:r>
              <w:rPr>
                <w:rStyle w:val="StrongEmphasis"/>
                <w:b/>
                <w:color w:val="0C0C14"/>
              </w:rPr>
              <w:t>94% capacity retention after 100 cycles at −40°C</w:t>
            </w:r>
          </w:p>
        </w:tc>
      </w:tr>
      <w:tr>
        <w:trPr/>
        <w:tc>
          <w:tcPr>
            <w:tcW w:w="3713" w:type="dxa"/>
            <w:tcBorders>
              <w:left w:val="single" w:sz="2" w:space="0" w:color="EAE7E4"/>
            </w:tcBorders>
            <w:shd w:fill="F8FAFC" w:val="clear"/>
            <w:tcMar>
              <w:bottom w:w="0" w:type="dxa"/>
            </w:tcMar>
            <w:vAlign w:val="center"/>
          </w:tcPr>
          <w:p>
            <w:pPr>
              <w:pStyle w:val="TableContents"/>
              <w:bidi w:val="0"/>
              <w:ind w:left="0" w:right="0" w:hanging="0"/>
              <w:jc w:val="left"/>
              <w:rPr/>
            </w:pPr>
            <w:r>
              <w:rPr>
                <w:rStyle w:val="StrongEmphasis"/>
                <w:b/>
                <w:color w:val="0C0C14"/>
              </w:rPr>
              <w:t>"Superior Low-Temperature Power and Cycle Performances of Na-Ion Battery over Li-Ion Battery"</w:t>
            </w:r>
          </w:p>
        </w:tc>
        <w:tc>
          <w:tcPr>
            <w:tcW w:w="1590" w:type="dxa"/>
            <w:tcBorders>
              <w:left w:val="single" w:sz="2" w:space="0" w:color="EAE7E4"/>
            </w:tcBorders>
            <w:shd w:fill="F8FAFC" w:val="clear"/>
            <w:tcMar>
              <w:bottom w:w="0" w:type="dxa"/>
            </w:tcMar>
            <w:vAlign w:val="center"/>
          </w:tcPr>
          <w:p>
            <w:pPr>
              <w:pStyle w:val="TableContents"/>
              <w:bidi w:val="0"/>
              <w:ind w:left="0" w:right="0" w:hanging="0"/>
              <w:jc w:val="left"/>
              <w:rPr>
                <w:color w:val="0C0C14"/>
              </w:rPr>
            </w:pPr>
            <w:r>
              <w:rPr>
                <w:color w:val="0C0C14"/>
              </w:rPr>
              <w:t>ACS Omega, 2016</w:t>
            </w:r>
          </w:p>
        </w:tc>
        <w:tc>
          <w:tcPr>
            <w:tcW w:w="4669" w:type="dxa"/>
            <w:tcBorders/>
            <w:shd w:fill="F8FAFC" w:val="clear"/>
            <w:tcMar>
              <w:left w:w="0" w:type="dxa"/>
              <w:bottom w:w="0" w:type="dxa"/>
            </w:tcMar>
            <w:vAlign w:val="center"/>
          </w:tcPr>
          <w:p>
            <w:pPr>
              <w:pStyle w:val="TableContents"/>
              <w:widowControl w:val="false"/>
              <w:suppressLineNumbers/>
              <w:bidi w:val="0"/>
              <w:jc w:val="left"/>
              <w:rPr/>
            </w:pPr>
            <w:r>
              <w:rPr>
                <w:color w:val="0C0C14"/>
              </w:rPr>
              <w:t xml:space="preserve">Direct head-to-head title claim: Na-ion </w:t>
            </w:r>
            <w:r>
              <w:rPr>
                <w:rStyle w:val="StrongEmphasis"/>
                <w:b/>
                <w:color w:val="0C0C14"/>
              </w:rPr>
              <w:t>superior low-temperature power</w:t>
            </w:r>
            <w:r>
              <w:rPr>
                <w:color w:val="0C0C14"/>
              </w:rPr>
              <w:t xml:space="preserve"> vs Li-ion — useful because it's a comparative study, not just sodium in isolation</w:t>
            </w:r>
          </w:p>
        </w:tc>
      </w:tr>
    </w:tbl>
    <w:p>
      <w:pPr>
        <w:pStyle w:val="TextBody"/>
        <w:bidi w:val="0"/>
        <w:spacing w:lineRule="auto" w:line="276" w:before="0" w:after="140"/>
        <w:jc w:val="left"/>
        <w:rPr/>
      </w:pPr>
      <w:r>
        <w:rPr/>
      </w:r>
    </w:p>
    <w:p>
      <w:pPr>
        <w:pStyle w:val="TextBody"/>
        <w:widowControl/>
        <w:bidi w:val="0"/>
        <w:ind w:left="0" w:right="0" w:hanging="0"/>
        <w:jc w:val="left"/>
        <w:rPr/>
      </w:pPr>
      <w:r>
        <w:rPr>
          <w:rStyle w:val="Emphasis"/>
          <w:rFonts w:ascii="Inter;system-ui;sans-serif" w:hAnsi="Inter;system-ui;sans-serif"/>
          <w:b w:val="false"/>
          <w:color w:val="24292E"/>
          <w:spacing w:val="0"/>
          <w:sz w:val="24"/>
          <w:szCs w:val="24"/>
        </w:rPr>
        <w:t>Independent laboratory studies confirm both halves of the argument: lithium-ion cells lose 30–50% of capacity and face plating-induced degradation when cold-charged (Joule 2018; J. Power Sources 2017), while engineered sodium-ion cells demonstrate 80–98% retention at −20°C to −40°C (Adv. Energy Mater. 2024; Science China Chemistry 2026). Our t</w:t>
      </w:r>
      <w:r>
        <w:rPr>
          <w:rStyle w:val="Emphasis"/>
          <w:rFonts w:ascii="Inter;system-ui;sans-serif" w:hAnsi="Inter;system-ui;sans-serif"/>
          <w:b w:val="false"/>
          <w:color w:val="24292E"/>
          <w:spacing w:val="0"/>
          <w:sz w:val="24"/>
          <w:szCs w:val="24"/>
        </w:rPr>
        <w:t xml:space="preserve">est </w:t>
      </w:r>
      <w:r>
        <w:rPr>
          <w:rStyle w:val="Emphasis"/>
          <w:rFonts w:ascii="Inter;system-ui;sans-serif" w:hAnsi="Inter;system-ui;sans-serif"/>
          <w:b w:val="false"/>
          <w:color w:val="24292E"/>
          <w:spacing w:val="0"/>
          <w:sz w:val="24"/>
          <w:szCs w:val="24"/>
        </w:rPr>
        <w:t xml:space="preserve">data sits in that latter class — and unlike our competitors, we publish the </w:t>
      </w:r>
      <w:r>
        <w:rPr>
          <w:rStyle w:val="Emphasis"/>
          <w:rFonts w:ascii="Inter;system-ui;sans-serif" w:hAnsi="Inter;system-ui;sans-serif"/>
          <w:b w:val="false"/>
          <w:color w:val="24292E"/>
          <w:spacing w:val="0"/>
          <w:sz w:val="24"/>
          <w:szCs w:val="24"/>
        </w:rPr>
        <w:t xml:space="preserve">correct </w:t>
      </w:r>
      <w:r>
        <w:rPr>
          <w:rStyle w:val="Emphasis"/>
          <w:rFonts w:ascii="Inter;system-ui;sans-serif" w:hAnsi="Inter;system-ui;sans-serif"/>
          <w:b w:val="false"/>
          <w:color w:val="24292E"/>
          <w:spacing w:val="0"/>
          <w:sz w:val="24"/>
          <w:szCs w:val="24"/>
        </w:rPr>
        <w:t>numbers alongside the citations."</w:t>
      </w:r>
      <w:r>
        <w:rPr>
          <w:sz w:val="24"/>
          <w:szCs w:val="24"/>
        </w:rPr>
        <w:t xml:space="preserve"> </w:t>
      </w:r>
    </w:p>
    <w:p>
      <w:pPr>
        <w:pStyle w:val="TextBody"/>
        <w:widowControl/>
        <w:bidi w:val="0"/>
        <w:ind w:left="0" w:right="0" w:hanging="0"/>
        <w:jc w:val="left"/>
        <w:rPr/>
      </w:pPr>
      <w:r>
        <w:rPr>
          <w:rStyle w:val="StrongEmphasis"/>
          <w:rFonts w:ascii="Inter;system-ui;sans-serif" w:hAnsi="Inter;system-ui;sans-serif"/>
          <w:b/>
          <w:i/>
          <w:color w:val="24292E"/>
          <w:spacing w:val="0"/>
          <w:sz w:val="20"/>
          <w:szCs w:val="20"/>
        </w:rPr>
        <w:t>We don't sell a single chemistry — we engineer the right chemistry for the job.</w:t>
      </w:r>
    </w:p>
    <w:p>
      <w:pPr>
        <w:pStyle w:val="TextBody"/>
        <w:widowControl/>
        <w:bidi w:val="0"/>
        <w:spacing w:lineRule="auto" w:line="360" w:before="0" w:after="0"/>
        <w:ind w:left="0" w:right="0" w:hanging="0"/>
        <w:jc w:val="left"/>
        <w:rPr/>
      </w:pPr>
      <w:r>
        <w:rPr>
          <w:rFonts w:ascii="Inter;system-ui;sans-serif" w:hAnsi="Inter;system-ui;sans-serif"/>
          <w:b w:val="false"/>
          <w:i/>
          <w:color w:val="24292E"/>
          <w:spacing w:val="0"/>
          <w:sz w:val="20"/>
          <w:szCs w:val="20"/>
        </w:rPr>
        <w:t xml:space="preserve">For most turbine and turbocharged experimental aircraft, our </w:t>
      </w:r>
      <w:r>
        <w:rPr>
          <w:rStyle w:val="StrongEmphasis"/>
          <w:rFonts w:ascii="Inter;system-ui;sans-serif" w:hAnsi="Inter;system-ui;sans-serif"/>
          <w:b/>
          <w:i/>
          <w:color w:val="24292E"/>
          <w:spacing w:val="0"/>
          <w:sz w:val="20"/>
          <w:szCs w:val="20"/>
        </w:rPr>
        <w:t>NFPP sodium-ion</w:t>
      </w:r>
      <w:r>
        <w:rPr>
          <w:rFonts w:ascii="Inter;system-ui;sans-serif" w:hAnsi="Inter;system-ui;sans-serif"/>
          <w:b w:val="false"/>
          <w:i/>
          <w:color w:val="24292E"/>
          <w:spacing w:val="0"/>
          <w:sz w:val="20"/>
          <w:szCs w:val="20"/>
        </w:rPr>
        <w:t xml:space="preserve"> battery offers the best balance: superior cold cranking reliability, thermal stability unmatched by LFP, 8–20 year service life, and weight comparable to LFP.</w:t>
      </w:r>
    </w:p>
    <w:p>
      <w:pPr>
        <w:pStyle w:val="TextBody"/>
        <w:widowControl/>
        <w:bidi w:val="0"/>
        <w:spacing w:lineRule="auto" w:line="360" w:before="0" w:after="0"/>
        <w:ind w:left="0" w:right="0" w:hanging="0"/>
        <w:jc w:val="left"/>
        <w:rPr/>
      </w:pPr>
      <w:r>
        <w:rPr>
          <w:rFonts w:ascii="Inter;system-ui;sans-serif" w:hAnsi="Inter;system-ui;sans-serif"/>
          <w:b w:val="false"/>
          <w:i/>
          <w:color w:val="24292E"/>
          <w:spacing w:val="0"/>
          <w:sz w:val="20"/>
          <w:szCs w:val="20"/>
        </w:rPr>
        <w:t xml:space="preserve">For operators prioritizing </w:t>
      </w:r>
      <w:r>
        <w:rPr>
          <w:rStyle w:val="StrongEmphasis"/>
          <w:rFonts w:ascii="Inter;system-ui;sans-serif" w:hAnsi="Inter;system-ui;sans-serif"/>
          <w:b/>
          <w:i/>
          <w:color w:val="24292E"/>
          <w:spacing w:val="0"/>
          <w:sz w:val="20"/>
          <w:szCs w:val="20"/>
        </w:rPr>
        <w:t>maximum safety and longevity</w:t>
      </w:r>
      <w:r>
        <w:rPr>
          <w:rFonts w:ascii="Inter;system-ui;sans-serif" w:hAnsi="Inter;system-ui;sans-serif"/>
          <w:b w:val="false"/>
          <w:i/>
          <w:color w:val="24292E"/>
          <w:spacing w:val="0"/>
          <w:sz w:val="20"/>
          <w:szCs w:val="20"/>
        </w:rPr>
        <w:t xml:space="preserve">, we also offer </w:t>
      </w:r>
      <w:r>
        <w:rPr>
          <w:rStyle w:val="StrongEmphasis"/>
          <w:rFonts w:ascii="Inter;system-ui;sans-serif" w:hAnsi="Inter;system-ui;sans-serif"/>
          <w:b/>
          <w:i/>
          <w:color w:val="24292E"/>
          <w:spacing w:val="0"/>
          <w:sz w:val="20"/>
          <w:szCs w:val="20"/>
        </w:rPr>
        <w:t>Toshiba LTO</w:t>
      </w:r>
      <w:r>
        <w:rPr>
          <w:rFonts w:ascii="Inter;system-ui;sans-serif" w:hAnsi="Inter;system-ui;sans-serif"/>
          <w:b w:val="false"/>
          <w:i/>
          <w:color w:val="24292E"/>
          <w:spacing w:val="0"/>
          <w:sz w:val="20"/>
          <w:szCs w:val="20"/>
        </w:rPr>
        <w:t xml:space="preserve"> cells — chemistry so safe it 'fundamentally eliminates thermal runaway risk' (per peer-reviewed safety studies). LTO can charge at −30°C without plating, lasts 15,000+ cycles, and provides decades of trouble-free service — at a weight and cost premium for operators where those tradeoffs make sense.</w:t>
      </w:r>
    </w:p>
    <w:p>
      <w:pPr>
        <w:pStyle w:val="TextBody"/>
        <w:widowControl/>
        <w:bidi w:val="0"/>
        <w:spacing w:lineRule="auto" w:line="360" w:before="0" w:after="0"/>
        <w:ind w:left="0" w:right="0" w:hanging="0"/>
        <w:jc w:val="left"/>
        <w:rPr/>
      </w:pPr>
      <w:r>
        <w:rPr>
          <w:rStyle w:val="StrongEmphasis"/>
          <w:rFonts w:ascii="Inter;system-ui;sans-serif" w:hAnsi="Inter;system-ui;sans-serif"/>
          <w:b/>
          <w:i/>
          <w:color w:val="24292E"/>
          <w:spacing w:val="0"/>
          <w:sz w:val="20"/>
          <w:szCs w:val="20"/>
        </w:rPr>
        <w:t>Our competitors offer one chemistry and hope it fits.</w:t>
      </w:r>
      <w:r>
        <w:rPr>
          <w:rFonts w:ascii="Inter;system-ui;sans-serif" w:hAnsi="Inter;system-ui;sans-serif"/>
          <w:b w:val="false"/>
          <w:i/>
          <w:color w:val="24292E"/>
          <w:spacing w:val="0"/>
          <w:sz w:val="20"/>
          <w:szCs w:val="20"/>
        </w:rPr>
        <w:t xml:space="preserve"> We analyze your mission profile — cold weather, cycle count, weight constraints, budget — and match the right tool. That's why serious builders trust us with their electrical systems</w:t>
      </w:r>
    </w:p>
    <w:p>
      <w:pPr>
        <w:pStyle w:val="TextBody"/>
        <w:widowControl/>
        <w:bidi w:val="0"/>
        <w:ind w:left="0" w:right="0" w:hanging="0"/>
        <w:jc w:val="left"/>
        <w:rPr>
          <w:sz w:val="24"/>
          <w:szCs w:val="24"/>
        </w:rPr>
      </w:pPr>
      <w:r>
        <w:rPr/>
      </w:r>
    </w:p>
    <w:tbl>
      <w:tblPr>
        <w:tblW w:w="9972" w:type="dxa"/>
        <w:jc w:val="left"/>
        <w:tblInd w:w="0" w:type="dxa"/>
        <w:shd w:fill="FFFFFF" w:val="clear"/>
        <w:tblLayout w:type="fixed"/>
        <w:tblCellMar>
          <w:top w:w="0" w:type="dxa"/>
          <w:left w:w="28" w:type="dxa"/>
          <w:bottom w:w="28" w:type="dxa"/>
          <w:right w:w="0" w:type="dxa"/>
        </w:tblCellMar>
      </w:tblPr>
      <w:tblGrid>
        <w:gridCol w:w="4659"/>
        <w:gridCol w:w="1768"/>
        <w:gridCol w:w="3545"/>
      </w:tblGrid>
      <w:tr>
        <w:trPr>
          <w:tblHeader w:val="true"/>
        </w:trPr>
        <w:tc>
          <w:tcPr>
            <w:tcW w:w="4659"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Study</w:t>
            </w:r>
          </w:p>
        </w:tc>
        <w:tc>
          <w:tcPr>
            <w:tcW w:w="1768"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Journal / Year</w:t>
            </w:r>
          </w:p>
        </w:tc>
        <w:tc>
          <w:tcPr>
            <w:tcW w:w="3545"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Key Finding</w:t>
            </w:r>
          </w:p>
        </w:tc>
      </w:tr>
      <w:tr>
        <w:trPr/>
        <w:tc>
          <w:tcPr>
            <w:tcW w:w="4659" w:type="dxa"/>
            <w:tcBorders>
              <w:left w:val="single" w:sz="2" w:space="0" w:color="EAE7E4"/>
              <w:bottom w:val="single" w:sz="2" w:space="0" w:color="EAE7E4"/>
            </w:tcBorders>
            <w:shd w:fill="F8FAFC" w:val="clear"/>
            <w:vAlign w:val="center"/>
          </w:tcPr>
          <w:p>
            <w:pPr>
              <w:pStyle w:val="TableContents"/>
              <w:bidi w:val="0"/>
              <w:ind w:left="0" w:right="0" w:hanging="0"/>
              <w:jc w:val="left"/>
              <w:rPr/>
            </w:pPr>
            <w:r>
              <w:rPr>
                <w:rStyle w:val="StrongEmphasis"/>
                <w:b/>
                <w:color w:val="0C0C14"/>
              </w:rPr>
              <w:t>"Safety analysis of thermal runaway in LTO battery cells under operational fault conditions in railway vehicles"</w:t>
            </w:r>
          </w:p>
        </w:tc>
        <w:tc>
          <w:tcPr>
            <w:tcW w:w="1768" w:type="dxa"/>
            <w:tcBorders>
              <w:left w:val="single" w:sz="2" w:space="0" w:color="EAE7E4"/>
              <w:bottom w:val="single" w:sz="2" w:space="0" w:color="EAE7E4"/>
            </w:tcBorders>
            <w:shd w:fill="F8FAFC" w:val="clear"/>
            <w:vAlign w:val="center"/>
          </w:tcPr>
          <w:p>
            <w:pPr>
              <w:pStyle w:val="TableContents"/>
              <w:bidi w:val="0"/>
              <w:ind w:left="0" w:right="0" w:hanging="0"/>
              <w:jc w:val="left"/>
              <w:rPr>
                <w:color w:val="0C0C14"/>
              </w:rPr>
            </w:pPr>
            <w:r>
              <w:rPr>
                <w:color w:val="0C0C14"/>
              </w:rPr>
              <w:t>Scientific Reports (Nature), 2025</w:t>
            </w:r>
          </w:p>
        </w:tc>
        <w:tc>
          <w:tcPr>
            <w:tcW w:w="3545" w:type="dxa"/>
            <w:tcBorders>
              <w:bottom w:val="single" w:sz="2" w:space="0" w:color="EAE7E4"/>
            </w:tcBorders>
            <w:shd w:fill="F8FAFC" w:val="clear"/>
            <w:tcMar>
              <w:left w:w="0" w:type="dxa"/>
            </w:tcMar>
            <w:vAlign w:val="center"/>
          </w:tcPr>
          <w:p>
            <w:pPr>
              <w:pStyle w:val="TableContents"/>
              <w:bidi w:val="0"/>
              <w:jc w:val="left"/>
              <w:rPr>
                <w:color w:val="0C0C14"/>
              </w:rPr>
            </w:pPr>
            <w:r>
              <w:rPr>
                <w:color w:val="0C0C14"/>
              </w:rPr>
              <w:t>LTO has "minimal risk of thermal runaway"; high anode voltage prevents lithium plating</w:t>
            </w:r>
          </w:p>
        </w:tc>
      </w:tr>
    </w:tbl>
    <w:p>
      <w:pPr>
        <w:pStyle w:val="TextBody"/>
        <w:widowControl/>
        <w:bidi w:val="0"/>
        <w:ind w:left="0" w:right="0" w:hanging="0"/>
        <w:jc w:val="left"/>
        <w:rPr>
          <w:sz w:val="24"/>
          <w:szCs w:val="24"/>
        </w:rPr>
      </w:pPr>
      <w:r>
        <w:rPr/>
      </w:r>
    </w:p>
    <w:p>
      <w:pPr>
        <w:pStyle w:val="Heading3"/>
        <w:widowControl/>
        <w:bidi w:val="0"/>
        <w:ind w:left="0" w:right="0" w:hanging="0"/>
        <w:jc w:val="left"/>
        <w:rPr/>
      </w:pPr>
      <w:r>
        <w:rPr>
          <w:rStyle w:val="StrongEmphasis"/>
          <w:rFonts w:ascii="Inter;system-ui;sans-serif" w:hAnsi="Inter;system-ui;sans-serif"/>
          <w:b/>
          <w:i w:val="false"/>
          <w:caps w:val="false"/>
          <w:smallCaps w:val="false"/>
          <w:color w:val="24292E"/>
          <w:spacing w:val="0"/>
          <w:sz w:val="24"/>
          <w:szCs w:val="24"/>
        </w:rPr>
        <w:t>CHARGE (Accepting Alternator Current)</w:t>
      </w:r>
      <w:r>
        <w:rPr>
          <w:rFonts w:ascii="Inter;system-ui;sans-serif" w:hAnsi="Inter;system-ui;sans-serif"/>
          <w:b w:val="false"/>
          <w:i w:val="false"/>
          <w:caps w:val="false"/>
          <w:smallCaps w:val="false"/>
          <w:color w:val="24292E"/>
          <w:spacing w:val="0"/>
          <w:sz w:val="24"/>
          <w:szCs w:val="24"/>
        </w:rPr>
        <w:t>: ❌ AGM beats LFP</w:t>
      </w:r>
    </w:p>
    <w:tbl>
      <w:tblPr>
        <w:tblW w:w="9972" w:type="dxa"/>
        <w:jc w:val="left"/>
        <w:tblInd w:w="0" w:type="dxa"/>
        <w:shd w:fill="FFFFFF" w:val="clear"/>
        <w:tblLayout w:type="fixed"/>
        <w:tblCellMar>
          <w:top w:w="0" w:type="dxa"/>
          <w:left w:w="28" w:type="dxa"/>
          <w:bottom w:w="28" w:type="dxa"/>
          <w:right w:w="0" w:type="dxa"/>
        </w:tblCellMar>
      </w:tblPr>
      <w:tblGrid>
        <w:gridCol w:w="1730"/>
        <w:gridCol w:w="2707"/>
        <w:gridCol w:w="5535"/>
      </w:tblGrid>
      <w:tr>
        <w:trPr>
          <w:tblHeader w:val="true"/>
        </w:trPr>
        <w:tc>
          <w:tcPr>
            <w:tcW w:w="1730"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Chemistry</w:t>
            </w:r>
          </w:p>
        </w:tc>
        <w:tc>
          <w:tcPr>
            <w:tcW w:w="2707"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Can Charge Below 0°C?</w:t>
            </w:r>
          </w:p>
        </w:tc>
        <w:tc>
          <w:tcPr>
            <w:tcW w:w="5535"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What Happens</w:t>
            </w:r>
          </w:p>
        </w:tc>
      </w:tr>
      <w:tr>
        <w:trPr/>
        <w:tc>
          <w:tcPr>
            <w:tcW w:w="1730"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AGM (Odyssey)</w:t>
            </w:r>
          </w:p>
        </w:tc>
        <w:tc>
          <w:tcPr>
            <w:tcW w:w="2707"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color w:val="0C0C14"/>
              </w:rPr>
              <w:t xml:space="preserve">✅ </w:t>
            </w:r>
            <w:r>
              <w:rPr>
                <w:rStyle w:val="StrongEmphasis"/>
                <w:b/>
                <w:color w:val="0C0C14"/>
              </w:rPr>
              <w:t>Yes</w:t>
            </w:r>
            <w:r>
              <w:rPr>
                <w:color w:val="0C0C14"/>
              </w:rPr>
              <w:t xml:space="preserve"> (reduced current, no damage)</w:t>
            </w:r>
          </w:p>
        </w:tc>
        <w:tc>
          <w:tcPr>
            <w:tcW w:w="5535"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Chemical reactions slow, but no permanent degradation</w:t>
            </w:r>
          </w:p>
        </w:tc>
      </w:tr>
      <w:tr>
        <w:trPr/>
        <w:tc>
          <w:tcPr>
            <w:tcW w:w="1730" w:type="dxa"/>
            <w:tcBorders>
              <w:left w:val="single" w:sz="2" w:space="0" w:color="EAE7E4"/>
            </w:tcBorders>
            <w:shd w:fill="FFFFFF" w:val="clear"/>
            <w:tcMar>
              <w:bottom w:w="0" w:type="dxa"/>
            </w:tcMar>
            <w:vAlign w:val="center"/>
          </w:tcPr>
          <w:p>
            <w:pPr>
              <w:pStyle w:val="TableContents"/>
              <w:bidi w:val="0"/>
              <w:ind w:left="0" w:right="0" w:hanging="0"/>
              <w:jc w:val="left"/>
              <w:rPr/>
            </w:pPr>
            <w:r>
              <w:rPr>
                <w:rStyle w:val="StrongEmphasis"/>
                <w:b/>
                <w:color w:val="0C0C14"/>
              </w:rPr>
              <w:t>LiFePO₄ (EarthX)</w:t>
            </w:r>
          </w:p>
        </w:tc>
        <w:tc>
          <w:tcPr>
            <w:tcW w:w="2707" w:type="dxa"/>
            <w:tcBorders>
              <w:left w:val="single" w:sz="2" w:space="0" w:color="EAE7E4"/>
            </w:tcBorders>
            <w:shd w:fill="FFFFFF" w:val="clear"/>
            <w:tcMar>
              <w:bottom w:w="0" w:type="dxa"/>
            </w:tcMar>
            <w:vAlign w:val="center"/>
          </w:tcPr>
          <w:p>
            <w:pPr>
              <w:pStyle w:val="TableContents"/>
              <w:bidi w:val="0"/>
              <w:ind w:left="0" w:right="0" w:hanging="0"/>
              <w:jc w:val="left"/>
              <w:rPr/>
            </w:pPr>
            <w:r>
              <w:rPr>
                <w:color w:val="0C0C14"/>
              </w:rPr>
              <w:t xml:space="preserve">❌ </w:t>
            </w:r>
            <w:r>
              <w:rPr>
                <w:rStyle w:val="StrongEmphasis"/>
                <w:b/>
                <w:color w:val="0C0C14"/>
              </w:rPr>
              <w:t>No</w:t>
            </w:r>
            <w:r>
              <w:rPr>
                <w:color w:val="0C0C14"/>
              </w:rPr>
              <w:t xml:space="preserve"> (plating risk)</w:t>
            </w:r>
          </w:p>
        </w:tc>
        <w:tc>
          <w:tcPr>
            <w:tcW w:w="5535" w:type="dxa"/>
            <w:tcBorders/>
            <w:shd w:fill="FFFFFF" w:val="clear"/>
            <w:tcMar>
              <w:left w:w="0" w:type="dxa"/>
              <w:bottom w:w="0" w:type="dxa"/>
            </w:tcMar>
            <w:vAlign w:val="center"/>
          </w:tcPr>
          <w:p>
            <w:pPr>
              <w:pStyle w:val="TableContents"/>
              <w:bidi w:val="0"/>
              <w:jc w:val="left"/>
              <w:rPr>
                <w:color w:val="0C0C14"/>
              </w:rPr>
            </w:pPr>
            <w:r>
              <w:rPr>
                <w:color w:val="0C0C14"/>
              </w:rPr>
              <w:t>Lithium plates on graphite anode, causing permanent capacity loss and safety risk</w:t>
            </w:r>
          </w:p>
        </w:tc>
      </w:tr>
    </w:tbl>
    <w:p>
      <w:pPr>
        <w:pStyle w:val="TextBody"/>
        <w:widowControl/>
        <w:bidi w:val="0"/>
        <w:spacing w:lineRule="auto" w:line="360"/>
        <w:ind w:left="0" w:right="0" w:hanging="0"/>
        <w:jc w:val="left"/>
        <w:rPr/>
      </w:pPr>
      <w:r>
        <w:rPr>
          <w:rStyle w:val="StrongEmphasis"/>
          <w:rFonts w:ascii="Inter;system-ui;sans-serif" w:hAnsi="Inter;system-ui;sans-serif"/>
          <w:b/>
          <w:i w:val="false"/>
          <w:caps w:val="false"/>
          <w:smallCaps w:val="false"/>
          <w:color w:val="24292E"/>
          <w:spacing w:val="0"/>
          <w:sz w:val="17"/>
        </w:rPr>
        <w:t>The contradiction</w:t>
      </w:r>
      <w:r>
        <w:rPr>
          <w:rFonts w:ascii="Inter;system-ui;sans-serif" w:hAnsi="Inter;system-ui;sans-serif"/>
          <w:b w:val="false"/>
          <w:i w:val="false"/>
          <w:caps w:val="false"/>
          <w:smallCaps w:val="false"/>
          <w:color w:val="24292E"/>
          <w:spacing w:val="0"/>
          <w:sz w:val="17"/>
        </w:rPr>
        <w:t>: EarthX claims "-30°C charging" on their website, but their own fact sheet admits plating occurs at low temperature. AGM batteries charge fine below freezing; LFP does not — unless you accept the plating risk.</w:t>
      </w:r>
    </w:p>
    <w:p>
      <w:pPr>
        <w:pStyle w:val="HorizontalLine"/>
        <w:suppressLineNumbers/>
        <w:pBdr>
          <w:bottom w:val="double" w:sz="2" w:space="0" w:color="808080"/>
        </w:pBdr>
        <w:bidi w:val="0"/>
        <w:spacing w:before="0" w:after="283"/>
        <w:jc w:val="left"/>
        <w:rPr/>
      </w:pPr>
      <w:r>
        <w:rPr/>
      </w:r>
    </w:p>
    <w:p>
      <w:pPr>
        <w:pStyle w:val="Heading2"/>
        <w:widowControl/>
        <w:bidi w:val="0"/>
        <w:spacing w:lineRule="auto" w:line="312" w:before="0" w:after="0"/>
        <w:ind w:left="0" w:right="0" w:hanging="0"/>
        <w:jc w:val="left"/>
        <w:rPr>
          <w:rFonts w:ascii="Inter;system-ui;sans-serif" w:hAnsi="Inter;system-ui;sans-serif"/>
          <w:b w:val="false"/>
          <w:i w:val="false"/>
          <w:caps w:val="false"/>
          <w:smallCaps w:val="false"/>
          <w:color w:val="24292E"/>
          <w:spacing w:val="0"/>
        </w:rPr>
      </w:pPr>
      <w:r>
        <w:rPr>
          <w:rFonts w:ascii="Inter;system-ui;sans-serif" w:hAnsi="Inter;system-ui;sans-serif"/>
          <w:b w:val="false"/>
          <w:i w:val="false"/>
          <w:caps w:val="false"/>
          <w:smallCaps w:val="false"/>
          <w:color w:val="24292E"/>
          <w:spacing w:val="0"/>
        </w:rPr>
        <w:t>How Your Sodium/NFPP Chemistry Changes the Equation</w:t>
      </w:r>
    </w:p>
    <w:p>
      <w:pPr>
        <w:pStyle w:val="TextBody"/>
        <w:widowControl/>
        <w:bidi w:val="0"/>
        <w:spacing w:lineRule="auto" w:line="360"/>
        <w:ind w:left="0" w:right="0" w:hanging="0"/>
        <w:jc w:val="left"/>
        <w:rPr/>
      </w:pPr>
      <w:r>
        <w:rPr>
          <w:rFonts w:ascii="Inter;system-ui;sans-serif" w:hAnsi="Inter;system-ui;sans-serif"/>
          <w:b w:val="false"/>
          <w:i w:val="false"/>
          <w:caps w:val="false"/>
          <w:smallCaps w:val="false"/>
          <w:color w:val="24292E"/>
          <w:spacing w:val="0"/>
          <w:sz w:val="17"/>
        </w:rPr>
        <w:t xml:space="preserve">Here's where you can outflank </w:t>
      </w:r>
      <w:r>
        <w:rPr>
          <w:rStyle w:val="StrongEmphasis"/>
          <w:rFonts w:ascii="Inter;system-ui;sans-serif" w:hAnsi="Inter;system-ui;sans-serif"/>
          <w:b/>
          <w:i w:val="false"/>
          <w:caps w:val="false"/>
          <w:smallCaps w:val="false"/>
          <w:color w:val="24292E"/>
          <w:spacing w:val="0"/>
          <w:sz w:val="17"/>
        </w:rPr>
        <w:t>both</w:t>
      </w:r>
      <w:r>
        <w:rPr>
          <w:rFonts w:ascii="Inter;system-ui;sans-serif" w:hAnsi="Inter;system-ui;sans-serif"/>
          <w:b w:val="false"/>
          <w:i w:val="false"/>
          <w:caps w:val="false"/>
          <w:smallCaps w:val="false"/>
          <w:color w:val="24292E"/>
          <w:spacing w:val="0"/>
          <w:sz w:val="17"/>
        </w:rPr>
        <w:t xml:space="preserve"> competitors:</w:t>
      </w:r>
    </w:p>
    <w:tbl>
      <w:tblPr>
        <w:tblW w:w="7019" w:type="dxa"/>
        <w:jc w:val="left"/>
        <w:tblInd w:w="0" w:type="dxa"/>
        <w:shd w:fill="FFFFFF" w:val="clear"/>
        <w:tblLayout w:type="fixed"/>
        <w:tblCellMar>
          <w:top w:w="0" w:type="dxa"/>
          <w:left w:w="28" w:type="dxa"/>
          <w:bottom w:w="28" w:type="dxa"/>
          <w:right w:w="0" w:type="dxa"/>
        </w:tblCellMar>
      </w:tblPr>
      <w:tblGrid>
        <w:gridCol w:w="1783"/>
        <w:gridCol w:w="1505"/>
        <w:gridCol w:w="1672"/>
        <w:gridCol w:w="2059"/>
      </w:tblGrid>
      <w:tr>
        <w:trPr>
          <w:tblHeader w:val="true"/>
        </w:trPr>
        <w:tc>
          <w:tcPr>
            <w:tcW w:w="1783"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Temperature</w:t>
            </w:r>
          </w:p>
        </w:tc>
        <w:tc>
          <w:tcPr>
            <w:tcW w:w="1505"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AGM</w:t>
            </w:r>
          </w:p>
        </w:tc>
        <w:tc>
          <w:tcPr>
            <w:tcW w:w="1672" w:type="dxa"/>
            <w:tcBorders>
              <w:left w:val="single" w:sz="2" w:space="0" w:color="EAE7E4"/>
              <w:bottom w:val="single" w:sz="2" w:space="0" w:color="EAE7E4"/>
            </w:tcBorders>
            <w:shd w:fill="FFFFFF" w:val="clear"/>
            <w:vAlign w:val="center"/>
          </w:tcPr>
          <w:p>
            <w:pPr>
              <w:pStyle w:val="TableHeading"/>
              <w:bidi w:val="0"/>
              <w:ind w:left="0" w:right="0" w:hanging="0"/>
              <w:rPr>
                <w:b/>
                <w:color w:val="0C0C14"/>
              </w:rPr>
            </w:pPr>
            <w:r>
              <w:rPr>
                <w:b/>
                <w:color w:val="0C0C14"/>
              </w:rPr>
              <w:t>LiFePO₄</w:t>
            </w:r>
          </w:p>
        </w:tc>
        <w:tc>
          <w:tcPr>
            <w:tcW w:w="2059" w:type="dxa"/>
            <w:tcBorders>
              <w:bottom w:val="single" w:sz="2" w:space="0" w:color="EAE7E4"/>
            </w:tcBorders>
            <w:shd w:fill="FFFFFF" w:val="clear"/>
            <w:tcMar>
              <w:left w:w="0" w:type="dxa"/>
            </w:tcMar>
            <w:vAlign w:val="center"/>
          </w:tcPr>
          <w:p>
            <w:pPr>
              <w:pStyle w:val="TableHeading"/>
              <w:bidi w:val="0"/>
              <w:ind w:left="0" w:right="0" w:hanging="0"/>
              <w:rPr>
                <w:b/>
                <w:color w:val="0C0C14"/>
              </w:rPr>
            </w:pPr>
            <w:r>
              <w:rPr>
                <w:b/>
                <w:color w:val="0C0C14"/>
              </w:rPr>
              <w:t>NFPP Sodium</w:t>
            </w:r>
          </w:p>
        </w:tc>
      </w:tr>
      <w:tr>
        <w:trPr/>
        <w:tc>
          <w:tcPr>
            <w:tcW w:w="1783"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-20°C Discharge</w:t>
            </w:r>
          </w:p>
        </w:tc>
        <w:tc>
          <w:tcPr>
            <w:tcW w:w="1505"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50–60%</w:t>
            </w:r>
          </w:p>
        </w:tc>
        <w:tc>
          <w:tcPr>
            <w:tcW w:w="167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~75%</w:t>
            </w:r>
          </w:p>
        </w:tc>
        <w:tc>
          <w:tcPr>
            <w:tcW w:w="2059"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~90%</w:t>
            </w:r>
          </w:p>
        </w:tc>
      </w:tr>
      <w:tr>
        <w:trPr/>
        <w:tc>
          <w:tcPr>
            <w:tcW w:w="1783"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-20°C Charge</w:t>
            </w:r>
          </w:p>
        </w:tc>
        <w:tc>
          <w:tcPr>
            <w:tcW w:w="1505"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 xml:space="preserve">✅ </w:t>
            </w:r>
            <w:r>
              <w:rPr>
                <w:color w:val="0C0C14"/>
              </w:rPr>
              <w:t>Yes (slow)</w:t>
            </w:r>
          </w:p>
        </w:tc>
        <w:tc>
          <w:tcPr>
            <w:tcW w:w="167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 xml:space="preserve">❌ </w:t>
            </w:r>
            <w:r>
              <w:rPr>
                <w:color w:val="0C0C14"/>
              </w:rPr>
              <w:t>No (plating)</w:t>
            </w:r>
          </w:p>
        </w:tc>
        <w:tc>
          <w:tcPr>
            <w:tcW w:w="2059"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 xml:space="preserve">✅ </w:t>
            </w:r>
            <w:r>
              <w:rPr>
                <w:color w:val="0C0C14"/>
              </w:rPr>
              <w:t>Yes (no plating)</w:t>
            </w:r>
          </w:p>
        </w:tc>
      </w:tr>
      <w:tr>
        <w:trPr/>
        <w:tc>
          <w:tcPr>
            <w:tcW w:w="1783" w:type="dxa"/>
            <w:tcBorders>
              <w:left w:val="single" w:sz="2" w:space="0" w:color="EAE7E4"/>
              <w:bottom w:val="single" w:sz="2" w:space="0" w:color="EAE7E4"/>
            </w:tcBorders>
            <w:shd w:fill="FFFFFF" w:val="clear"/>
            <w:vAlign w:val="center"/>
          </w:tcPr>
          <w:p>
            <w:pPr>
              <w:pStyle w:val="TableContents"/>
              <w:bidi w:val="0"/>
              <w:ind w:left="0" w:right="0" w:hanging="0"/>
              <w:jc w:val="left"/>
              <w:rPr/>
            </w:pPr>
            <w:r>
              <w:rPr>
                <w:rStyle w:val="StrongEmphasis"/>
                <w:b/>
                <w:color w:val="0C0C14"/>
              </w:rPr>
              <w:t>-30°C Discharge</w:t>
            </w:r>
          </w:p>
        </w:tc>
        <w:tc>
          <w:tcPr>
            <w:tcW w:w="1505"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~40–50%</w:t>
            </w:r>
          </w:p>
        </w:tc>
        <w:tc>
          <w:tcPr>
            <w:tcW w:w="1672" w:type="dxa"/>
            <w:tcBorders>
              <w:left w:val="single" w:sz="2" w:space="0" w:color="EAE7E4"/>
              <w:bottom w:val="single" w:sz="2" w:space="0" w:color="EAE7E4"/>
            </w:tcBorders>
            <w:shd w:fill="FFFFFF" w:val="clear"/>
            <w:vAlign w:val="center"/>
          </w:tcPr>
          <w:p>
            <w:pPr>
              <w:pStyle w:val="TableContents"/>
              <w:bidi w:val="0"/>
              <w:ind w:left="0" w:right="0" w:hanging="0"/>
              <w:jc w:val="left"/>
              <w:rPr>
                <w:color w:val="0C0C14"/>
              </w:rPr>
            </w:pPr>
            <w:r>
              <w:rPr>
                <w:color w:val="0C0C14"/>
              </w:rPr>
              <w:t>~70%</w:t>
            </w:r>
          </w:p>
        </w:tc>
        <w:tc>
          <w:tcPr>
            <w:tcW w:w="2059" w:type="dxa"/>
            <w:tcBorders>
              <w:bottom w:val="single" w:sz="2" w:space="0" w:color="EAE7E4"/>
            </w:tcBorders>
            <w:shd w:fill="FFFFFF" w:val="clear"/>
            <w:tcMar>
              <w:left w:w="0" w:type="dxa"/>
            </w:tcMar>
            <w:vAlign w:val="center"/>
          </w:tcPr>
          <w:p>
            <w:pPr>
              <w:pStyle w:val="TableContents"/>
              <w:bidi w:val="0"/>
              <w:ind w:left="0" w:right="0" w:hanging="0"/>
              <w:jc w:val="left"/>
              <w:rPr>
                <w:color w:val="0C0C14"/>
              </w:rPr>
            </w:pPr>
            <w:r>
              <w:rPr>
                <w:color w:val="0C0C14"/>
              </w:rPr>
              <w:t>~85%</w:t>
            </w:r>
          </w:p>
        </w:tc>
      </w:tr>
      <w:tr>
        <w:trPr/>
        <w:tc>
          <w:tcPr>
            <w:tcW w:w="1783" w:type="dxa"/>
            <w:tcBorders>
              <w:left w:val="single" w:sz="2" w:space="0" w:color="EAE7E4"/>
            </w:tcBorders>
            <w:shd w:fill="FFFFFF" w:val="clear"/>
            <w:tcMar>
              <w:bottom w:w="0" w:type="dxa"/>
            </w:tcMar>
            <w:vAlign w:val="center"/>
          </w:tcPr>
          <w:p>
            <w:pPr>
              <w:pStyle w:val="TableContents"/>
              <w:bidi w:val="0"/>
              <w:ind w:left="0" w:right="0" w:hanging="0"/>
              <w:jc w:val="left"/>
              <w:rPr/>
            </w:pPr>
            <w:r>
              <w:rPr>
                <w:rStyle w:val="StrongEmphasis"/>
                <w:b/>
                <w:color w:val="0C0C14"/>
              </w:rPr>
              <w:t>-30°C Charge</w:t>
            </w:r>
          </w:p>
        </w:tc>
        <w:tc>
          <w:tcPr>
            <w:tcW w:w="1505" w:type="dxa"/>
            <w:tcBorders>
              <w:left w:val="single" w:sz="2" w:space="0" w:color="EAE7E4"/>
            </w:tcBorders>
            <w:shd w:fill="FFFFFF" w:val="clear"/>
            <w:tcMar>
              <w:bottom w:w="0" w:type="dxa"/>
            </w:tcMar>
            <w:vAlign w:val="center"/>
          </w:tcPr>
          <w:p>
            <w:pPr>
              <w:pStyle w:val="TableContents"/>
              <w:bidi w:val="0"/>
              <w:ind w:left="0" w:right="0" w:hanging="0"/>
              <w:jc w:val="left"/>
              <w:rPr>
                <w:color w:val="0C0C14"/>
              </w:rPr>
            </w:pPr>
            <w:r>
              <w:rPr>
                <w:color w:val="0C0C14"/>
              </w:rPr>
              <w:t xml:space="preserve">✅ </w:t>
            </w:r>
            <w:r>
              <w:rPr>
                <w:color w:val="0C0C14"/>
              </w:rPr>
              <w:t>Yes (slow)</w:t>
            </w:r>
          </w:p>
        </w:tc>
        <w:tc>
          <w:tcPr>
            <w:tcW w:w="1672" w:type="dxa"/>
            <w:tcBorders>
              <w:left w:val="single" w:sz="2" w:space="0" w:color="EAE7E4"/>
            </w:tcBorders>
            <w:shd w:fill="FFFFFF" w:val="clear"/>
            <w:tcMar>
              <w:bottom w:w="0" w:type="dxa"/>
            </w:tcMar>
            <w:vAlign w:val="center"/>
          </w:tcPr>
          <w:p>
            <w:pPr>
              <w:pStyle w:val="TableContents"/>
              <w:bidi w:val="0"/>
              <w:ind w:left="0" w:right="0" w:hanging="0"/>
              <w:jc w:val="left"/>
              <w:rPr>
                <w:color w:val="0C0C14"/>
              </w:rPr>
            </w:pPr>
            <w:r>
              <w:rPr>
                <w:color w:val="0C0C14"/>
              </w:rPr>
              <w:t xml:space="preserve">❌ </w:t>
            </w:r>
            <w:r>
              <w:rPr>
                <w:color w:val="0C0C14"/>
              </w:rPr>
              <w:t>No (plating)</w:t>
            </w:r>
          </w:p>
        </w:tc>
        <w:tc>
          <w:tcPr>
            <w:tcW w:w="2059" w:type="dxa"/>
            <w:tcBorders/>
            <w:shd w:fill="FFFFFF" w:val="clear"/>
            <w:tcMar>
              <w:left w:w="0" w:type="dxa"/>
              <w:bottom w:w="0" w:type="dxa"/>
            </w:tcMar>
            <w:vAlign w:val="center"/>
          </w:tcPr>
          <w:p>
            <w:pPr>
              <w:pStyle w:val="TableContents"/>
              <w:bidi w:val="0"/>
              <w:jc w:val="left"/>
              <w:rPr>
                <w:color w:val="0C0C14"/>
              </w:rPr>
            </w:pPr>
            <w:r>
              <w:rPr>
                <w:color w:val="0C0C14"/>
              </w:rPr>
              <w:t xml:space="preserve">✅ </w:t>
            </w:r>
            <w:r>
              <w:rPr>
                <w:color w:val="0C0C14"/>
              </w:rPr>
              <w:t>Yes (no plating)</w:t>
            </w:r>
          </w:p>
        </w:tc>
      </w:tr>
    </w:tbl>
    <w:p>
      <w:pPr>
        <w:pStyle w:val="TextBody"/>
        <w:widowControl/>
        <w:bidi w:val="0"/>
        <w:spacing w:lineRule="auto" w:line="360"/>
        <w:ind w:left="0" w:right="0" w:hanging="0"/>
        <w:jc w:val="left"/>
        <w:rPr/>
      </w:pPr>
      <w:r>
        <w:rPr>
          <w:rStyle w:val="StrongEmphasis"/>
          <w:rFonts w:ascii="Inter;system-ui;sans-serif" w:hAnsi="Inter;system-ui;sans-serif"/>
          <w:b/>
          <w:i w:val="false"/>
          <w:caps w:val="false"/>
          <w:smallCaps w:val="false"/>
          <w:color w:val="24292E"/>
          <w:spacing w:val="0"/>
          <w:sz w:val="17"/>
        </w:rPr>
        <w:t>Your advantage</w:t>
      </w:r>
      <w:r>
        <w:rPr>
          <w:rFonts w:ascii="Inter;system-ui;sans-serif" w:hAnsi="Inter;system-ui;sans-serif"/>
          <w:b w:val="false"/>
          <w:i w:val="false"/>
          <w:caps w:val="false"/>
          <w:smallCaps w:val="false"/>
          <w:color w:val="24292E"/>
          <w:spacing w:val="0"/>
          <w:sz w:val="17"/>
        </w:rPr>
        <w:t xml:space="preserve">: Sodium wins on </w:t>
      </w:r>
      <w:r>
        <w:rPr>
          <w:rStyle w:val="Emphasis"/>
          <w:rFonts w:ascii="Inter;system-ui;sans-serif" w:hAnsi="Inter;system-ui;sans-serif"/>
          <w:b w:val="false"/>
          <w:i w:val="false"/>
          <w:caps w:val="false"/>
          <w:smallCaps w:val="false"/>
          <w:color w:val="24292E"/>
          <w:spacing w:val="0"/>
          <w:sz w:val="17"/>
        </w:rPr>
        <w:t>both</w:t>
      </w:r>
      <w:r>
        <w:rPr>
          <w:rFonts w:ascii="Inter;system-ui;sans-serif" w:hAnsi="Inter;system-ui;sans-serif"/>
          <w:b w:val="false"/>
          <w:i w:val="false"/>
          <w:caps w:val="false"/>
          <w:smallCaps w:val="false"/>
          <w:color w:val="24292E"/>
          <w:spacing w:val="0"/>
          <w:sz w:val="17"/>
        </w:rPr>
        <w:t xml:space="preserve"> discharge AND charge in cold — the only chemistry that does.</w:t>
      </w:r>
    </w:p>
    <w:p>
      <w:pPr>
        <w:pStyle w:val="HorizontalLine"/>
        <w:suppressLineNumbers/>
        <w:pBdr>
          <w:bottom w:val="double" w:sz="2" w:space="0" w:color="808080"/>
        </w:pBdr>
        <w:bidi w:val="0"/>
        <w:spacing w:before="0" w:after="283"/>
        <w:jc w:val="left"/>
        <w:rPr/>
      </w:pPr>
      <w:r>
        <w:rPr/>
      </w:r>
    </w:p>
    <w:p>
      <w:pPr>
        <w:pStyle w:val="Heading2"/>
        <w:widowControl/>
        <w:bidi w:val="0"/>
        <w:spacing w:lineRule="auto" w:line="312" w:before="0" w:after="0"/>
        <w:ind w:left="0" w:right="0" w:hanging="0"/>
        <w:jc w:val="left"/>
        <w:rPr>
          <w:rFonts w:ascii="Inter;system-ui;sans-serif" w:hAnsi="Inter;system-ui;sans-serif"/>
          <w:b w:val="false"/>
          <w:i w:val="false"/>
          <w:caps w:val="false"/>
          <w:smallCaps w:val="false"/>
          <w:color w:val="24292E"/>
          <w:spacing w:val="0"/>
        </w:rPr>
      </w:pPr>
      <w:r>
        <w:rPr>
          <w:rFonts w:ascii="Inter;system-ui;sans-serif" w:hAnsi="Inter;system-ui;sans-serif"/>
          <w:b w:val="false"/>
          <w:i w:val="false"/>
          <w:caps w:val="false"/>
          <w:smallCaps w:val="false"/>
          <w:color w:val="24292E"/>
          <w:spacing w:val="0"/>
        </w:rPr>
        <w:t>Your Counter-Argument (Including AGM Comparison)</w:t>
      </w:r>
    </w:p>
    <w:p>
      <w:pPr>
        <w:pStyle w:val="Quotations"/>
        <w:widowControl/>
        <w:pBdr>
          <w:left w:val="single" w:sz="14" w:space="1" w:color="6D4AFF"/>
        </w:pBdr>
        <w:shd w:fill="F8FAFC" w:val="clear"/>
        <w:bidi w:val="0"/>
        <w:spacing w:lineRule="auto" w:line="360" w:before="0" w:after="0"/>
        <w:ind w:left="567" w:right="567" w:hanging="0"/>
        <w:jc w:val="left"/>
        <w:rPr/>
      </w:pPr>
      <w:r>
        <w:rPr>
          <w:rStyle w:val="StrongEmphasis"/>
          <w:rFonts w:ascii="Inter;system-ui;sans-serif" w:hAnsi="Inter;system-ui;sans-serif"/>
          <w:b/>
          <w:i/>
          <w:color w:val="24292E"/>
          <w:spacing w:val="0"/>
          <w:sz w:val="17"/>
        </w:rPr>
        <w:t>"Let's be clear about what the data says — and what it doesn't.</w:t>
      </w:r>
    </w:p>
    <w:p>
      <w:pPr>
        <w:pStyle w:val="Quotations"/>
        <w:widowControl/>
        <w:pBdr>
          <w:left w:val="single" w:sz="14" w:space="1" w:color="6D4AFF"/>
        </w:pBdr>
        <w:shd w:fill="F8FAFC" w:val="clear"/>
        <w:bidi w:val="0"/>
        <w:spacing w:lineRule="auto" w:line="360" w:before="0" w:after="0"/>
        <w:ind w:left="567" w:right="567" w:hanging="0"/>
        <w:jc w:val="left"/>
        <w:rPr/>
      </w:pPr>
      <w:r>
        <w:rPr>
          <w:rStyle w:val="StrongEmphasis"/>
          <w:rFonts w:ascii="Inter;system-ui;sans-serif" w:hAnsi="Inter;system-ui;sans-serif"/>
          <w:b/>
          <w:i/>
          <w:color w:val="24292E"/>
          <w:spacing w:val="0"/>
          <w:sz w:val="17"/>
        </w:rPr>
        <w:t>Yes, LiFePO₄ beats AGM for cold discharge.</w:t>
      </w:r>
      <w:r>
        <w:rPr>
          <w:rFonts w:ascii="Inter;system-ui;sans-serif" w:hAnsi="Inter;system-ui;sans-serif"/>
          <w:b w:val="false"/>
          <w:i/>
          <w:color w:val="24292E"/>
          <w:spacing w:val="0"/>
          <w:sz w:val="17"/>
        </w:rPr>
        <w:t xml:space="preserve"> At -20°C, Grepow's own specs show ~70% discharge capacity versus Odyssey AGM's ~50–60%. That's a real advantage for engine starting.</w:t>
      </w:r>
    </w:p>
    <w:p>
      <w:pPr>
        <w:pStyle w:val="Quotations"/>
        <w:widowControl/>
        <w:pBdr>
          <w:left w:val="single" w:sz="14" w:space="1" w:color="6D4AFF"/>
        </w:pBdr>
        <w:shd w:fill="F8FAFC" w:val="clear"/>
        <w:bidi w:val="0"/>
        <w:spacing w:lineRule="auto" w:line="360" w:before="0" w:after="0"/>
        <w:ind w:left="567" w:right="567" w:hanging="0"/>
        <w:jc w:val="left"/>
        <w:rPr/>
      </w:pPr>
      <w:r>
        <w:rPr>
          <w:rStyle w:val="StrongEmphasis"/>
          <w:rFonts w:ascii="Inter;system-ui;sans-serif" w:hAnsi="Inter;system-ui;sans-serif"/>
          <w:b/>
          <w:i/>
          <w:color w:val="24292E"/>
          <w:spacing w:val="0"/>
          <w:sz w:val="17"/>
        </w:rPr>
        <w:t>But EarthX won't admit the other half:</w:t>
      </w:r>
      <w:r>
        <w:rPr>
          <w:rFonts w:ascii="Inter;system-ui;sans-serif" w:hAnsi="Inter;system-ui;sans-serif"/>
          <w:b w:val="false"/>
          <w:i/>
          <w:color w:val="24292E"/>
          <w:spacing w:val="0"/>
          <w:sz w:val="17"/>
        </w:rPr>
        <w:t xml:space="preserve"> LFP </w:t>
      </w:r>
      <w:r>
        <w:rPr>
          <w:rStyle w:val="Emphasis"/>
          <w:rFonts w:ascii="Inter;system-ui;sans-serif" w:hAnsi="Inter;system-ui;sans-serif"/>
          <w:b w:val="false"/>
          <w:i/>
          <w:color w:val="24292E"/>
          <w:spacing w:val="0"/>
          <w:sz w:val="17"/>
        </w:rPr>
        <w:t>cannot safely charge</w:t>
      </w:r>
      <w:r>
        <w:rPr>
          <w:rFonts w:ascii="Inter;system-ui;sans-serif" w:hAnsi="Inter;system-ui;sans-serif"/>
          <w:b w:val="false"/>
          <w:i/>
          <w:color w:val="24292E"/>
          <w:spacing w:val="0"/>
          <w:sz w:val="17"/>
        </w:rPr>
        <w:t xml:space="preserve"> below 0°C without lithium plating risk. Their own fact sheet admits plating occurs — yet they claim "-30°C charging" on their website. AGM batteries charge fine at those temperatures (slowly, but safely). So for winter flying where you need to recharge between flights, AGM actually has the operational advantage.</w:t>
      </w:r>
    </w:p>
    <w:p>
      <w:pPr>
        <w:pStyle w:val="Quotations"/>
        <w:widowControl/>
        <w:pBdr>
          <w:left w:val="single" w:sz="14" w:space="1" w:color="6D4AFF"/>
        </w:pBdr>
        <w:shd w:fill="F8FAFC" w:val="clear"/>
        <w:bidi w:val="0"/>
        <w:spacing w:lineRule="auto" w:line="360" w:before="0" w:after="0"/>
        <w:ind w:left="567" w:right="567" w:hanging="0"/>
        <w:jc w:val="left"/>
        <w:rPr/>
      </w:pPr>
      <w:r>
        <w:rPr>
          <w:rStyle w:val="StrongEmphasis"/>
          <w:rFonts w:ascii="Inter;system-ui;sans-serif" w:hAnsi="Inter;system-ui;sans-serif"/>
          <w:b/>
          <w:i/>
          <w:color w:val="24292E"/>
          <w:spacing w:val="0"/>
          <w:sz w:val="17"/>
        </w:rPr>
        <w:t>Sodium-ion breaks that tradeoff.</w:t>
      </w:r>
      <w:r>
        <w:rPr>
          <w:rFonts w:ascii="Inter;system-ui;sans-serif" w:hAnsi="Inter;system-ui;sans-serif"/>
          <w:b w:val="false"/>
          <w:i/>
          <w:color w:val="24292E"/>
          <w:spacing w:val="0"/>
          <w:sz w:val="17"/>
        </w:rPr>
        <w:t xml:space="preserve"> Our NFPP chemistry retains ~85–90% discharge capacity at -20°C to -30°C — beating both LFP and AGM — </w:t>
      </w:r>
      <w:r>
        <w:rPr>
          <w:rStyle w:val="Emphasis"/>
          <w:rFonts w:ascii="Inter;system-ui;sans-serif" w:hAnsi="Inter;system-ui;sans-serif"/>
          <w:b w:val="false"/>
          <w:i/>
          <w:color w:val="24292E"/>
          <w:spacing w:val="0"/>
          <w:sz w:val="17"/>
        </w:rPr>
        <w:t>and</w:t>
      </w:r>
      <w:r>
        <w:rPr>
          <w:rFonts w:ascii="Inter;system-ui;sans-serif" w:hAnsi="Inter;system-ui;sans-serif"/>
          <w:b w:val="false"/>
          <w:i/>
          <w:color w:val="24292E"/>
          <w:spacing w:val="0"/>
          <w:sz w:val="17"/>
        </w:rPr>
        <w:t xml:space="preserve"> accepts charge at those temperatures without plating risk. That's the only chemistry that wins on both sides of the equation.</w:t>
      </w:r>
    </w:p>
    <w:p>
      <w:pPr>
        <w:pStyle w:val="Quotations"/>
        <w:widowControl/>
        <w:pBdr>
          <w:left w:val="single" w:sz="14" w:space="1" w:color="6D4AFF"/>
        </w:pBdr>
        <w:shd w:fill="F8FAFC" w:val="clear"/>
        <w:bidi w:val="0"/>
        <w:spacing w:lineRule="auto" w:line="360" w:before="0" w:after="0"/>
        <w:ind w:left="567" w:right="567" w:hanging="0"/>
        <w:jc w:val="left"/>
        <w:rPr/>
      </w:pPr>
      <w:r>
        <w:rPr>
          <w:rStyle w:val="StrongEmphasis"/>
          <w:rFonts w:ascii="Inter;system-ui;sans-serif" w:hAnsi="Inter;system-ui;sans-serif"/>
          <w:b/>
          <w:i/>
          <w:color w:val="24292E"/>
          <w:spacing w:val="0"/>
          <w:sz w:val="17"/>
        </w:rPr>
        <w:t>Question for EarthX:</w:t>
      </w:r>
      <w:r>
        <w:rPr>
          <w:rFonts w:ascii="Inter;system-ui;sans-serif" w:hAnsi="Inter;system-ui;sans-serif"/>
          <w:b w:val="false"/>
          <w:i/>
          <w:color w:val="24292E"/>
          <w:spacing w:val="0"/>
          <w:sz w:val="17"/>
        </w:rPr>
        <w:t xml:space="preserve"> If charging below 0°C is safe (as you claim), why does your own fact sheet describe lithium plating as the failure mode? And if 'charge retention' is the right metric, why don't you publish discharge capacity numbers alongside it?"</w:t>
      </w:r>
    </w:p>
    <w:p>
      <w:pPr>
        <w:pStyle w:val="TextBody"/>
        <w:bidi w:val="0"/>
        <w:spacing w:lineRule="auto" w:line="276" w:before="0" w:after="140"/>
        <w:jc w:val="left"/>
        <w:rPr>
          <w:sz w:val="24"/>
          <w:szCs w:val="24"/>
        </w:rPr>
      </w:pPr>
      <w:r>
        <w:rPr/>
        <w:b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Inter">
    <w:altName w:val="system-ui"/>
    <w:charset w:val="00"/>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nothing"/>
      <w:lvlText w:val="%1."/>
      <w:lvlJc w:val="left"/>
      <w:pPr>
        <w:tabs>
          <w:tab w:val="num" w:pos="0"/>
        </w:tabs>
        <w:ind w:left="0" w:hanging="0"/>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2">
    <w:name w:val="Heading 2"/>
    <w:basedOn w:val="Heading"/>
    <w:next w:val="TextBody"/>
    <w:qFormat/>
    <w:pPr>
      <w:spacing w:before="200" w:after="120"/>
      <w:outlineLvl w:val="1"/>
    </w:pPr>
    <w:rPr>
      <w:rFonts w:ascii="Liberation Serif" w:hAnsi="Liberation Serif" w:eastAsia="NSimSun" w:cs="Lucida Sans"/>
      <w:b/>
      <w:bCs/>
      <w:sz w:val="36"/>
      <w:szCs w:val="36"/>
    </w:rPr>
  </w:style>
  <w:style w:type="paragraph" w:styleId="Heading3">
    <w:name w:val="Heading 3"/>
    <w:basedOn w:val="Heading"/>
    <w:next w:val="TextBody"/>
    <w:qFormat/>
    <w:pPr>
      <w:spacing w:before="140" w:after="120"/>
      <w:outlineLvl w:val="2"/>
    </w:pPr>
    <w:rPr>
      <w:rFonts w:ascii="Liberation Serif" w:hAnsi="Liberation Serif" w:eastAsia="NSimSun" w:cs="Lucida Sans"/>
      <w:b/>
      <w:bCs/>
      <w:sz w:val="28"/>
      <w:szCs w:val="28"/>
    </w:rPr>
  </w:style>
  <w:style w:type="character" w:styleId="InternetLink">
    <w:name w:val="Hyperlink"/>
    <w:rPr>
      <w:color w:val="000080"/>
      <w:u w:val="single"/>
      <w:lang w:val="zxx" w:eastAsia="zxx" w:bidi="zxx"/>
    </w:rPr>
  </w:style>
  <w:style w:type="character" w:styleId="StrongEmphasis">
    <w:name w:val="Strong Emphasis"/>
    <w:qFormat/>
    <w:rPr>
      <w:b/>
      <w:bCs/>
    </w:rPr>
  </w:style>
  <w:style w:type="character" w:styleId="Emphasis">
    <w:name w:val="Emphasis"/>
    <w:qFormat/>
    <w:rPr>
      <w:i/>
      <w:i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Quotations">
    <w:name w:val="Quotations"/>
    <w:basedOn w:val="Normal"/>
    <w:qFormat/>
    <w:pPr>
      <w:spacing w:before="0" w:after="283"/>
      <w:ind w:left="567" w:right="567" w:hanging="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arthxbatteries.com/earthx-lifepo4-lithium-iron-phosphate-battery-cold-temperature-operation" TargetMode="External"/><Relationship Id="rId3" Type="http://schemas.openxmlformats.org/officeDocument/2006/relationships/hyperlink" Target=""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1234</TotalTime>
  <Application>LibreOffice/7.3.2.2$Windows_X86_64 LibreOffice_project/49f2b1bff42cfccbd8f788c8dc32c1c309559be0</Application>
  <AppVersion>15.0000</AppVersion>
  <Pages>9</Pages>
  <Words>3919</Words>
  <Characters>22259</Characters>
  <CharactersWithSpaces>25930</CharactersWithSpaces>
  <Paragraphs>290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2026-09-26T23:45:12Z</dcterms:created>
  <dc:creator/>
  <dc:description/>
  <dc:language>en-US</dc:language>
  <cp:lastModifiedBy/>
  <dcterms:modified xsi:type="dcterms:W3CDTF">2026-09-27T23:35:58Z</dcterms:modified>
  <cp:revision>2</cp:revision>
  <dc:subject/>
  <dc:title/>
</cp:coreProperties>
</file>